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415B4" w14:textId="5A8F4084" w:rsidR="00F56D4B" w:rsidRPr="00F56D4B" w:rsidRDefault="00F56D4B" w:rsidP="00C441D3">
      <w:pPr>
        <w:pStyle w:val="BodyTextIndent"/>
        <w:spacing w:before="0" w:beforeAutospacing="0" w:after="0" w:afterAutospacing="0"/>
        <w:ind w:right="-188" w:firstLine="284"/>
        <w:jc w:val="center"/>
        <w:rPr>
          <w:rFonts w:ascii="Calibri" w:eastAsia="Arial" w:hAnsi="Calibri" w:cs="Calibri"/>
          <w:b/>
          <w:color w:val="000000"/>
        </w:rPr>
      </w:pPr>
      <w:r w:rsidRPr="00F56D4B">
        <w:rPr>
          <w:rFonts w:ascii="Calibri" w:eastAsia="Arial" w:hAnsi="Calibri" w:cs="Calibri"/>
          <w:b/>
          <w:color w:val="000000"/>
        </w:rPr>
        <w:t xml:space="preserve">Guidelines for EOP </w:t>
      </w:r>
      <w:r w:rsidR="00B1166A">
        <w:rPr>
          <w:rFonts w:ascii="Calibri" w:eastAsia="Arial" w:hAnsi="Calibri" w:cs="Calibri"/>
          <w:b/>
          <w:color w:val="000000"/>
        </w:rPr>
        <w:t xml:space="preserve">segment </w:t>
      </w:r>
      <w:r w:rsidRPr="00F56D4B">
        <w:rPr>
          <w:rFonts w:ascii="Calibri" w:eastAsia="Arial" w:hAnsi="Calibri" w:cs="Calibri"/>
          <w:b/>
          <w:color w:val="000000"/>
        </w:rPr>
        <w:t>Member</w:t>
      </w:r>
      <w:r w:rsidR="00B1166A">
        <w:rPr>
          <w:rFonts w:ascii="Calibri" w:eastAsia="Arial" w:hAnsi="Calibri" w:cs="Calibri"/>
          <w:b/>
          <w:color w:val="000000"/>
        </w:rPr>
        <w:t>s</w:t>
      </w:r>
    </w:p>
    <w:p w14:paraId="39917667" w14:textId="77777777" w:rsidR="00F56D4B" w:rsidRDefault="00F56D4B" w:rsidP="00F56D4B">
      <w:pPr>
        <w:pStyle w:val="BodyTextIndent"/>
        <w:spacing w:before="0" w:beforeAutospacing="0" w:after="0" w:afterAutospacing="0"/>
        <w:ind w:right="-188"/>
        <w:jc w:val="both"/>
        <w:rPr>
          <w:rFonts w:ascii="Calibri" w:eastAsia="Arial" w:hAnsi="Calibri" w:cs="Calibri"/>
          <w:bCs/>
          <w:color w:val="000000"/>
          <w:sz w:val="16"/>
          <w:szCs w:val="16"/>
        </w:rPr>
      </w:pPr>
    </w:p>
    <w:p w14:paraId="0A383BD5" w14:textId="77777777" w:rsidR="00F56D4B" w:rsidRPr="00E71F6C" w:rsidRDefault="00F56D4B" w:rsidP="00F56D4B">
      <w:pPr>
        <w:pStyle w:val="BodyTextIndent"/>
        <w:spacing w:before="0" w:beforeAutospacing="0" w:after="0" w:afterAutospacing="0"/>
        <w:ind w:right="-188"/>
        <w:jc w:val="both"/>
        <w:rPr>
          <w:rFonts w:ascii="Calibri" w:eastAsia="Arial" w:hAnsi="Calibri" w:cs="Calibri"/>
          <w:bCs/>
          <w:color w:val="000000"/>
          <w:sz w:val="16"/>
          <w:szCs w:val="16"/>
        </w:rPr>
      </w:pPr>
    </w:p>
    <w:p w14:paraId="1C78295C" w14:textId="77777777" w:rsidR="00F56D4B" w:rsidRPr="00F56D4B" w:rsidRDefault="00F56D4B" w:rsidP="00F56D4B">
      <w:pPr>
        <w:pStyle w:val="BodyTextIndent"/>
        <w:numPr>
          <w:ilvl w:val="0"/>
          <w:numId w:val="1"/>
        </w:numPr>
        <w:spacing w:before="0" w:beforeAutospacing="0" w:after="0" w:afterAutospacing="0"/>
        <w:ind w:left="709" w:right="-188" w:hanging="425"/>
        <w:jc w:val="both"/>
        <w:rPr>
          <w:rFonts w:ascii="Calibri" w:eastAsia="Arial" w:hAnsi="Calibri" w:cs="Calibri"/>
          <w:bCs/>
          <w:color w:val="000000"/>
        </w:rPr>
      </w:pPr>
      <w:r w:rsidRPr="00F56D4B">
        <w:rPr>
          <w:rFonts w:ascii="Calibri" w:eastAsia="Arial" w:hAnsi="Calibri" w:cs="Calibri"/>
          <w:bCs/>
          <w:color w:val="000000"/>
          <w:u w:val="single"/>
        </w:rPr>
        <w:t>Applicability and scope</w:t>
      </w:r>
      <w:r w:rsidRPr="00F56D4B">
        <w:rPr>
          <w:rFonts w:ascii="Calibri" w:eastAsia="Arial" w:hAnsi="Calibri" w:cs="Calibri"/>
          <w:bCs/>
          <w:color w:val="000000"/>
        </w:rPr>
        <w:t xml:space="preserve">: SEBI circular no. SEBI/HO/IMD/IMD-PoD-1/P/CIR/2023/86 dated June 13, 2023 </w:t>
      </w:r>
    </w:p>
    <w:p w14:paraId="48D75D07" w14:textId="77777777" w:rsidR="00F56D4B" w:rsidRPr="00E71F6C" w:rsidRDefault="00F56D4B" w:rsidP="00F56D4B">
      <w:pPr>
        <w:pStyle w:val="BodyTextIndent"/>
        <w:spacing w:before="0" w:beforeAutospacing="0" w:after="0" w:afterAutospacing="0"/>
        <w:ind w:left="709" w:right="-188" w:hanging="425"/>
        <w:jc w:val="both"/>
        <w:rPr>
          <w:rFonts w:ascii="Calibri" w:eastAsia="Arial" w:hAnsi="Calibri" w:cs="Calibri"/>
          <w:bCs/>
          <w:color w:val="000000"/>
          <w:sz w:val="20"/>
          <w:szCs w:val="20"/>
        </w:rPr>
      </w:pPr>
    </w:p>
    <w:p w14:paraId="2E6BC5F9" w14:textId="3DD19FA1" w:rsidR="00F56D4B" w:rsidRDefault="00F56D4B" w:rsidP="00F56D4B">
      <w:pPr>
        <w:pStyle w:val="BodyTextIndent"/>
        <w:numPr>
          <w:ilvl w:val="0"/>
          <w:numId w:val="1"/>
        </w:numPr>
        <w:spacing w:before="0" w:beforeAutospacing="0" w:after="0" w:afterAutospacing="0"/>
        <w:ind w:left="709" w:right="-188" w:hanging="425"/>
        <w:jc w:val="both"/>
        <w:rPr>
          <w:rFonts w:ascii="Calibri" w:eastAsia="Arial" w:hAnsi="Calibri" w:cs="Calibri"/>
          <w:bCs/>
          <w:color w:val="000000"/>
        </w:rPr>
      </w:pPr>
      <w:r w:rsidRPr="00BF3640">
        <w:rPr>
          <w:rFonts w:ascii="Calibri" w:eastAsia="Arial" w:hAnsi="Calibri" w:cs="Calibri"/>
          <w:bCs/>
          <w:color w:val="000000"/>
          <w:u w:val="single"/>
        </w:rPr>
        <w:t>Requirements not applicable to Category 2 EOP</w:t>
      </w:r>
      <w:r>
        <w:rPr>
          <w:rFonts w:ascii="Calibri" w:eastAsia="Arial" w:hAnsi="Calibri" w:cs="Calibri"/>
          <w:bCs/>
          <w:color w:val="000000"/>
        </w:rPr>
        <w:t>:</w:t>
      </w:r>
    </w:p>
    <w:p w14:paraId="7796A557" w14:textId="77777777" w:rsidR="00F56D4B" w:rsidRPr="005506D2" w:rsidRDefault="00F56D4B" w:rsidP="00F56D4B">
      <w:pPr>
        <w:pStyle w:val="Default"/>
        <w:numPr>
          <w:ilvl w:val="0"/>
          <w:numId w:val="2"/>
        </w:numPr>
        <w:spacing w:after="20"/>
        <w:ind w:left="993" w:hanging="284"/>
        <w:jc w:val="both"/>
        <w:rPr>
          <w:rFonts w:ascii="Calibri" w:eastAsia="Arial" w:hAnsi="Calibri" w:cs="Calibri"/>
          <w:bCs/>
        </w:rPr>
      </w:pPr>
      <w:r>
        <w:rPr>
          <w:rFonts w:ascii="Calibri" w:eastAsia="Arial" w:hAnsi="Calibri" w:cs="Calibri"/>
          <w:bCs/>
        </w:rPr>
        <w:t>T</w:t>
      </w:r>
      <w:r w:rsidRPr="005506D2">
        <w:rPr>
          <w:rFonts w:ascii="Calibri" w:eastAsia="Arial" w:hAnsi="Calibri" w:cs="Calibri"/>
          <w:bCs/>
        </w:rPr>
        <w:t xml:space="preserve">rading rules applicable for equity, equity derivative and other segments </w:t>
      </w:r>
    </w:p>
    <w:p w14:paraId="6951EA2C" w14:textId="77777777" w:rsidR="00F56D4B" w:rsidRPr="005506D2" w:rsidRDefault="00F56D4B" w:rsidP="00F56D4B">
      <w:pPr>
        <w:pStyle w:val="Default"/>
        <w:numPr>
          <w:ilvl w:val="0"/>
          <w:numId w:val="2"/>
        </w:numPr>
        <w:spacing w:after="20"/>
        <w:ind w:left="993" w:hanging="284"/>
        <w:jc w:val="both"/>
        <w:rPr>
          <w:rFonts w:ascii="Calibri" w:eastAsia="Arial" w:hAnsi="Calibri" w:cs="Calibri"/>
          <w:bCs/>
        </w:rPr>
      </w:pPr>
      <w:r w:rsidRPr="005506D2">
        <w:rPr>
          <w:rFonts w:ascii="Calibri" w:eastAsia="Arial" w:hAnsi="Calibri" w:cs="Calibri"/>
          <w:bCs/>
        </w:rPr>
        <w:t xml:space="preserve">Investor Protection Fund. </w:t>
      </w:r>
    </w:p>
    <w:p w14:paraId="069185A9" w14:textId="77777777" w:rsidR="00F56D4B" w:rsidRPr="005506D2" w:rsidRDefault="00F56D4B" w:rsidP="00F56D4B">
      <w:pPr>
        <w:pStyle w:val="Default"/>
        <w:numPr>
          <w:ilvl w:val="0"/>
          <w:numId w:val="2"/>
        </w:numPr>
        <w:spacing w:after="20"/>
        <w:ind w:left="993" w:hanging="284"/>
        <w:jc w:val="both"/>
        <w:rPr>
          <w:rFonts w:ascii="Calibri" w:eastAsia="Arial" w:hAnsi="Calibri" w:cs="Calibri"/>
          <w:bCs/>
        </w:rPr>
      </w:pPr>
      <w:r>
        <w:rPr>
          <w:rFonts w:ascii="Calibri" w:eastAsia="Arial" w:hAnsi="Calibri" w:cs="Calibri"/>
          <w:bCs/>
        </w:rPr>
        <w:t>R</w:t>
      </w:r>
      <w:r w:rsidRPr="005506D2">
        <w:rPr>
          <w:rFonts w:ascii="Calibri" w:eastAsia="Arial" w:hAnsi="Calibri" w:cs="Calibri"/>
          <w:bCs/>
        </w:rPr>
        <w:t>ules applicable for clearing and settlement of trades relating to equity, equity</w:t>
      </w:r>
      <w:r>
        <w:rPr>
          <w:rFonts w:ascii="Calibri" w:eastAsia="Arial" w:hAnsi="Calibri" w:cs="Calibri"/>
          <w:bCs/>
        </w:rPr>
        <w:t xml:space="preserve"> </w:t>
      </w:r>
      <w:r w:rsidRPr="005506D2">
        <w:rPr>
          <w:rFonts w:ascii="Calibri" w:eastAsia="Arial" w:hAnsi="Calibri" w:cs="Calibri"/>
          <w:bCs/>
        </w:rPr>
        <w:t xml:space="preserve">derivative and other segments. </w:t>
      </w:r>
    </w:p>
    <w:p w14:paraId="17C1588C" w14:textId="77777777" w:rsidR="00F56D4B" w:rsidRPr="005506D2" w:rsidRDefault="00F56D4B" w:rsidP="00F56D4B">
      <w:pPr>
        <w:pStyle w:val="Default"/>
        <w:numPr>
          <w:ilvl w:val="0"/>
          <w:numId w:val="2"/>
        </w:numPr>
        <w:spacing w:after="20"/>
        <w:ind w:left="993" w:hanging="284"/>
        <w:jc w:val="both"/>
        <w:rPr>
          <w:rFonts w:ascii="Calibri" w:eastAsia="Arial" w:hAnsi="Calibri" w:cs="Calibri"/>
          <w:bCs/>
        </w:rPr>
      </w:pPr>
      <w:r>
        <w:rPr>
          <w:rFonts w:ascii="Calibri" w:eastAsia="Arial" w:hAnsi="Calibri" w:cs="Calibri"/>
          <w:bCs/>
        </w:rPr>
        <w:t>P</w:t>
      </w:r>
      <w:r w:rsidRPr="005506D2">
        <w:rPr>
          <w:rFonts w:ascii="Calibri" w:eastAsia="Arial" w:hAnsi="Calibri" w:cs="Calibri"/>
          <w:bCs/>
        </w:rPr>
        <w:t xml:space="preserve">ooling of client’s funds by Trading Member. </w:t>
      </w:r>
    </w:p>
    <w:p w14:paraId="6F6EB684" w14:textId="77777777" w:rsidR="00F56D4B" w:rsidRPr="005506D2" w:rsidRDefault="00F56D4B" w:rsidP="00F56D4B">
      <w:pPr>
        <w:pStyle w:val="Default"/>
        <w:numPr>
          <w:ilvl w:val="0"/>
          <w:numId w:val="2"/>
        </w:numPr>
        <w:spacing w:after="20"/>
        <w:ind w:left="993" w:hanging="284"/>
        <w:jc w:val="both"/>
        <w:rPr>
          <w:rFonts w:ascii="Calibri" w:eastAsia="Arial" w:hAnsi="Calibri" w:cs="Calibri"/>
          <w:bCs/>
        </w:rPr>
      </w:pPr>
      <w:r>
        <w:rPr>
          <w:rFonts w:ascii="Calibri" w:eastAsia="Arial" w:hAnsi="Calibri" w:cs="Calibri"/>
          <w:bCs/>
        </w:rPr>
        <w:t>M</w:t>
      </w:r>
      <w:r w:rsidRPr="005506D2">
        <w:rPr>
          <w:rFonts w:ascii="Calibri" w:eastAsia="Arial" w:hAnsi="Calibri" w:cs="Calibri"/>
          <w:bCs/>
        </w:rPr>
        <w:t xml:space="preserve">embership and other related requirements as a Self-Clearing Member (SCM) or requirement of Trading Member – Clearing Member agreement. </w:t>
      </w:r>
    </w:p>
    <w:p w14:paraId="055CE6FC" w14:textId="77777777" w:rsidR="00F56D4B" w:rsidRPr="005506D2" w:rsidRDefault="00F56D4B" w:rsidP="00F56D4B">
      <w:pPr>
        <w:pStyle w:val="Default"/>
        <w:numPr>
          <w:ilvl w:val="0"/>
          <w:numId w:val="2"/>
        </w:numPr>
        <w:spacing w:after="20"/>
        <w:ind w:left="993" w:hanging="284"/>
        <w:jc w:val="both"/>
        <w:rPr>
          <w:rFonts w:ascii="Calibri" w:eastAsia="Arial" w:hAnsi="Calibri" w:cs="Calibri"/>
          <w:bCs/>
        </w:rPr>
      </w:pPr>
      <w:r>
        <w:rPr>
          <w:rFonts w:ascii="Calibri" w:eastAsia="Arial" w:hAnsi="Calibri" w:cs="Calibri"/>
          <w:bCs/>
        </w:rPr>
        <w:t>R</w:t>
      </w:r>
      <w:r w:rsidRPr="005506D2">
        <w:rPr>
          <w:rFonts w:ascii="Calibri" w:eastAsia="Arial" w:hAnsi="Calibri" w:cs="Calibri"/>
          <w:bCs/>
        </w:rPr>
        <w:t xml:space="preserve">isk management framework and settlement related polices applicable for equity, equity derivative and other segments where the Clearing Corporation provides novation and guarantee for settlement of trades. </w:t>
      </w:r>
    </w:p>
    <w:p w14:paraId="5815FCEE" w14:textId="77777777" w:rsidR="00F56D4B" w:rsidRDefault="00F56D4B" w:rsidP="00F56D4B">
      <w:pPr>
        <w:pStyle w:val="Default"/>
        <w:numPr>
          <w:ilvl w:val="0"/>
          <w:numId w:val="2"/>
        </w:numPr>
        <w:ind w:left="993" w:hanging="284"/>
        <w:jc w:val="both"/>
        <w:rPr>
          <w:rFonts w:ascii="Calibri" w:eastAsia="Arial" w:hAnsi="Calibri" w:cs="Calibri"/>
          <w:bCs/>
        </w:rPr>
      </w:pPr>
      <w:r>
        <w:rPr>
          <w:rFonts w:ascii="Calibri" w:eastAsia="Arial" w:hAnsi="Calibri" w:cs="Calibri"/>
          <w:bCs/>
        </w:rPr>
        <w:t>I</w:t>
      </w:r>
      <w:r w:rsidRPr="005506D2">
        <w:rPr>
          <w:rFonts w:ascii="Calibri" w:eastAsia="Arial" w:hAnsi="Calibri" w:cs="Calibri"/>
          <w:bCs/>
        </w:rPr>
        <w:t>ssuance of contract notes and issuance of funds &amp; securities statement.</w:t>
      </w:r>
    </w:p>
    <w:p w14:paraId="5E9516D1" w14:textId="77777777" w:rsidR="00F56D4B" w:rsidRPr="00E71F6C" w:rsidRDefault="00F56D4B" w:rsidP="00F56D4B">
      <w:pPr>
        <w:pStyle w:val="Default"/>
        <w:ind w:left="993"/>
        <w:jc w:val="both"/>
        <w:rPr>
          <w:rFonts w:ascii="Calibri" w:eastAsia="Arial" w:hAnsi="Calibri" w:cs="Calibri"/>
          <w:bCs/>
          <w:sz w:val="18"/>
          <w:szCs w:val="18"/>
        </w:rPr>
      </w:pPr>
    </w:p>
    <w:p w14:paraId="63B978DF" w14:textId="0A1B2D6A" w:rsidR="00F56D4B" w:rsidRPr="00F56D4B" w:rsidRDefault="00F56D4B" w:rsidP="00F56D4B">
      <w:pPr>
        <w:pStyle w:val="Default"/>
        <w:numPr>
          <w:ilvl w:val="0"/>
          <w:numId w:val="1"/>
        </w:numPr>
        <w:ind w:left="709" w:hanging="425"/>
        <w:jc w:val="both"/>
        <w:rPr>
          <w:rFonts w:ascii="Calibri" w:eastAsia="Arial" w:hAnsi="Calibri" w:cs="Calibri"/>
          <w:bCs/>
        </w:rPr>
      </w:pPr>
      <w:r w:rsidRPr="006120C6">
        <w:rPr>
          <w:rFonts w:ascii="Calibri" w:eastAsia="Arial" w:hAnsi="Calibri" w:cs="Calibri"/>
          <w:bCs/>
        </w:rPr>
        <w:t xml:space="preserve">Base Minimum Capital (BMC) and Membership Deposit: SEBI vide circular no. SEBI/HO/MRD/POD-III/CIR/2023/165 dated October 06, 2023, has </w:t>
      </w:r>
      <w:r>
        <w:rPr>
          <w:rFonts w:ascii="Calibri" w:eastAsia="Arial" w:hAnsi="Calibri" w:cs="Calibri"/>
          <w:bCs/>
        </w:rPr>
        <w:t xml:space="preserve">prescribed that </w:t>
      </w:r>
      <w:r w:rsidRPr="006120C6">
        <w:rPr>
          <w:rFonts w:ascii="Calibri" w:eastAsia="Arial" w:hAnsi="Calibri" w:cs="Calibri"/>
          <w:bCs/>
        </w:rPr>
        <w:t xml:space="preserve">the Members functioning only in EOP segment (Category 2 EOP) shall maintain a sum of Rs. 10 lakhs with the </w:t>
      </w:r>
      <w:r>
        <w:rPr>
          <w:rFonts w:ascii="Calibri" w:eastAsia="Arial" w:hAnsi="Calibri" w:cs="Calibri"/>
          <w:bCs/>
        </w:rPr>
        <w:t>E</w:t>
      </w:r>
      <w:r w:rsidRPr="006120C6">
        <w:rPr>
          <w:rFonts w:ascii="Calibri" w:eastAsia="Arial" w:hAnsi="Calibri" w:cs="Calibri"/>
          <w:bCs/>
        </w:rPr>
        <w:t xml:space="preserve">xchange as BMC deposit. However, </w:t>
      </w:r>
      <w:r>
        <w:rPr>
          <w:rFonts w:ascii="Calibri" w:eastAsia="Arial" w:hAnsi="Calibri" w:cs="Calibri"/>
          <w:bCs/>
        </w:rPr>
        <w:t>for M</w:t>
      </w:r>
      <w:r w:rsidRPr="006120C6">
        <w:rPr>
          <w:rFonts w:ascii="Calibri" w:eastAsia="Arial" w:hAnsi="Calibri" w:cs="Calibri"/>
          <w:bCs/>
        </w:rPr>
        <w:t xml:space="preserve">embers having registration of more than one segment on the </w:t>
      </w:r>
      <w:r>
        <w:rPr>
          <w:rFonts w:ascii="Calibri" w:eastAsia="Arial" w:hAnsi="Calibri" w:cs="Calibri"/>
          <w:bCs/>
        </w:rPr>
        <w:t>E</w:t>
      </w:r>
      <w:r w:rsidRPr="006120C6">
        <w:rPr>
          <w:rFonts w:ascii="Calibri" w:eastAsia="Arial" w:hAnsi="Calibri" w:cs="Calibri"/>
          <w:bCs/>
        </w:rPr>
        <w:t>xchange, the BMC deposit requirement shall be the highest applicable across various segments</w:t>
      </w:r>
      <w:r w:rsidRPr="006120C6">
        <w:rPr>
          <w:sz w:val="23"/>
          <w:szCs w:val="23"/>
        </w:rPr>
        <w:t xml:space="preserve">. </w:t>
      </w:r>
    </w:p>
    <w:p w14:paraId="1FDA745D" w14:textId="77777777" w:rsidR="00F56D4B" w:rsidRDefault="00F56D4B" w:rsidP="00F56D4B">
      <w:pPr>
        <w:pStyle w:val="Default"/>
        <w:ind w:left="709"/>
        <w:jc w:val="both"/>
        <w:rPr>
          <w:sz w:val="23"/>
          <w:szCs w:val="23"/>
        </w:rPr>
      </w:pPr>
    </w:p>
    <w:p w14:paraId="18994065" w14:textId="5B8BCBDB" w:rsidR="00F56D4B" w:rsidRPr="006120C6" w:rsidRDefault="00F56D4B" w:rsidP="00F56D4B">
      <w:pPr>
        <w:pStyle w:val="Default"/>
        <w:ind w:left="709"/>
        <w:jc w:val="both"/>
        <w:rPr>
          <w:rFonts w:ascii="Calibri" w:eastAsia="Arial" w:hAnsi="Calibri" w:cs="Calibri"/>
          <w:bCs/>
        </w:rPr>
      </w:pPr>
      <w:r w:rsidRPr="00B1166A">
        <w:rPr>
          <w:rFonts w:ascii="Calibri" w:eastAsia="Arial" w:hAnsi="Calibri" w:cs="Calibri"/>
          <w:bCs/>
        </w:rPr>
        <w:t>Further, for exclusive membership of EOP segment, the Members are required to maintain interest free membership deposit of Rs.10 lakhs with the Exchange. In case the Members are having registration of more than one segment on the Exchange, the</w:t>
      </w:r>
      <w:r>
        <w:rPr>
          <w:rFonts w:ascii="Calibri" w:eastAsia="Arial" w:hAnsi="Calibri" w:cs="Calibri"/>
          <w:bCs/>
        </w:rPr>
        <w:t xml:space="preserve"> membership deposit already furnished to the Exchange, fulfils the requirement.   </w:t>
      </w:r>
    </w:p>
    <w:p w14:paraId="4A482ED1" w14:textId="77777777" w:rsidR="00F56D4B" w:rsidRPr="00C801AB" w:rsidRDefault="00F56D4B" w:rsidP="00F56D4B">
      <w:pPr>
        <w:jc w:val="both"/>
        <w:rPr>
          <w:rFonts w:ascii="Calibri" w:eastAsia="Arial" w:hAnsi="Calibri" w:cs="Calibri"/>
          <w:bCs/>
          <w:color w:val="000000"/>
        </w:rPr>
      </w:pPr>
    </w:p>
    <w:p w14:paraId="4E38F6BF" w14:textId="77777777" w:rsidR="00F56D4B" w:rsidRDefault="00F56D4B" w:rsidP="00F56D4B">
      <w:pPr>
        <w:pStyle w:val="ListParagraph"/>
        <w:jc w:val="both"/>
        <w:rPr>
          <w:rFonts w:ascii="Calibri" w:eastAsia="Arial" w:hAnsi="Calibri" w:cs="Calibri"/>
          <w:bCs/>
          <w:color w:val="000000"/>
        </w:rPr>
      </w:pPr>
    </w:p>
    <w:p w14:paraId="7A5EC9A9" w14:textId="77777777" w:rsidR="00F56D4B" w:rsidRDefault="00F56D4B" w:rsidP="00F56D4B">
      <w:pPr>
        <w:autoSpaceDE w:val="0"/>
        <w:autoSpaceDN w:val="0"/>
        <w:adjustRightInd w:val="0"/>
        <w:spacing w:after="0" w:line="240" w:lineRule="auto"/>
        <w:jc w:val="right"/>
        <w:rPr>
          <w:rFonts w:ascii="Calibri" w:eastAsia="Arial" w:hAnsi="Calibri" w:cs="Calibri"/>
          <w:bCs/>
          <w:color w:val="000000"/>
          <w:sz w:val="24"/>
          <w:szCs w:val="24"/>
        </w:rPr>
      </w:pPr>
    </w:p>
    <w:p w14:paraId="216B5527" w14:textId="77777777" w:rsidR="00F56D4B" w:rsidRDefault="00F56D4B" w:rsidP="00F56D4B">
      <w:pPr>
        <w:autoSpaceDE w:val="0"/>
        <w:autoSpaceDN w:val="0"/>
        <w:adjustRightInd w:val="0"/>
        <w:spacing w:after="0" w:line="240" w:lineRule="auto"/>
        <w:jc w:val="right"/>
        <w:rPr>
          <w:rFonts w:ascii="Calibri" w:eastAsia="Arial" w:hAnsi="Calibri" w:cs="Calibri"/>
          <w:bCs/>
          <w:color w:val="000000"/>
          <w:sz w:val="24"/>
          <w:szCs w:val="24"/>
        </w:rPr>
      </w:pPr>
    </w:p>
    <w:p w14:paraId="2DAE7D47" w14:textId="77777777" w:rsidR="00F56D4B" w:rsidRDefault="00F56D4B" w:rsidP="00F56D4B">
      <w:pPr>
        <w:autoSpaceDE w:val="0"/>
        <w:autoSpaceDN w:val="0"/>
        <w:adjustRightInd w:val="0"/>
        <w:spacing w:after="0" w:line="240" w:lineRule="auto"/>
        <w:jc w:val="right"/>
        <w:rPr>
          <w:rFonts w:ascii="Calibri" w:eastAsia="Arial" w:hAnsi="Calibri" w:cs="Calibri"/>
          <w:bCs/>
          <w:color w:val="000000"/>
          <w:sz w:val="24"/>
          <w:szCs w:val="24"/>
        </w:rPr>
      </w:pPr>
    </w:p>
    <w:p w14:paraId="1A08EAE8" w14:textId="77777777" w:rsidR="00F56D4B" w:rsidRDefault="00F56D4B" w:rsidP="00F56D4B">
      <w:pPr>
        <w:autoSpaceDE w:val="0"/>
        <w:autoSpaceDN w:val="0"/>
        <w:adjustRightInd w:val="0"/>
        <w:spacing w:after="0" w:line="240" w:lineRule="auto"/>
        <w:jc w:val="right"/>
        <w:rPr>
          <w:rFonts w:ascii="Calibri" w:eastAsia="Arial" w:hAnsi="Calibri" w:cs="Calibri"/>
          <w:bCs/>
          <w:color w:val="000000"/>
          <w:sz w:val="24"/>
          <w:szCs w:val="24"/>
        </w:rPr>
      </w:pPr>
    </w:p>
    <w:p w14:paraId="67E84FAB" w14:textId="77777777" w:rsidR="00910387" w:rsidRDefault="00910387"/>
    <w:sectPr w:rsidR="0091038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B9487" w14:textId="77777777" w:rsidR="00B1166A" w:rsidRDefault="00B1166A" w:rsidP="00B1166A">
      <w:pPr>
        <w:spacing w:after="0" w:line="240" w:lineRule="auto"/>
      </w:pPr>
      <w:r>
        <w:separator/>
      </w:r>
    </w:p>
  </w:endnote>
  <w:endnote w:type="continuationSeparator" w:id="0">
    <w:p w14:paraId="5612C3F5" w14:textId="77777777" w:rsidR="00B1166A" w:rsidRDefault="00B1166A" w:rsidP="00B11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563DA" w14:textId="77777777" w:rsidR="00B1166A" w:rsidRDefault="00B116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B741A" w14:textId="2AD91FAB" w:rsidR="00B1166A" w:rsidRDefault="00B1166A">
    <w:pPr>
      <w:pStyle w:val="Footer"/>
    </w:pPr>
    <w:r>
      <w:rPr>
        <w:noProof/>
        <w14:ligatures w14:val="standardContextual"/>
      </w:rPr>
      <mc:AlternateContent>
        <mc:Choice Requires="wps">
          <w:drawing>
            <wp:anchor distT="0" distB="0" distL="114300" distR="114300" simplePos="0" relativeHeight="251659264" behindDoc="0" locked="0" layoutInCell="1" allowOverlap="1" wp14:anchorId="66A0BE28" wp14:editId="1BD4C955">
              <wp:simplePos x="0" y="0"/>
              <wp:positionH relativeFrom="column">
                <wp:posOffset>2251075</wp:posOffset>
              </wp:positionH>
              <wp:positionV relativeFrom="paragraph">
                <wp:posOffset>239395</wp:posOffset>
              </wp:positionV>
              <wp:extent cx="1471590" cy="254000"/>
              <wp:effectExtent l="0" t="0" r="0" b="0"/>
              <wp:wrapNone/>
              <wp:docPr id="1098862918" name="expertsource_setting_footer"/>
              <wp:cNvGraphicFramePr/>
              <a:graphic xmlns:a="http://schemas.openxmlformats.org/drawingml/2006/main">
                <a:graphicData uri="http://schemas.microsoft.com/office/word/2010/wordprocessingShape">
                  <wps:wsp>
                    <wps:cNvSpPr txBox="1"/>
                    <wps:spPr>
                      <a:xfrm>
                        <a:off x="0" y="0"/>
                        <a:ext cx="1471590"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630370" w14:textId="159B707A" w:rsidR="00B1166A" w:rsidRPr="00B1166A" w:rsidRDefault="00B1166A">
                          <w:pPr>
                            <w:rPr>
                              <w:rFonts w:ascii="Arial" w:hAnsi="Arial" w:cs="Arial"/>
                              <w:color w:val="FF8B3D"/>
                              <w:sz w:val="16"/>
                            </w:rPr>
                          </w:pPr>
                          <w:r w:rsidRPr="00B1166A">
                            <w:rPr>
                              <w:rFonts w:ascii="Arial" w:hAnsi="Arial" w:cs="Arial"/>
                              <w:color w:val="FF8B3D"/>
                              <w:sz w:val="16"/>
                            </w:rPr>
                            <w:t>BSE - CONFIDENTIAL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6A0BE28" id="_x0000_t202" coordsize="21600,21600" o:spt="202" path="m,l,21600r21600,l21600,xe">
              <v:stroke joinstyle="miter"/>
              <v:path gradientshapeok="t" o:connecttype="rect"/>
            </v:shapetype>
            <v:shape id="expertsource_setting_footer" o:spid="_x0000_s1026" type="#_x0000_t202" style="position:absolute;margin-left:177.25pt;margin-top:18.85pt;width:115.8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" filled="f" stroked="f" strokeweight=".5pt">
              <v:fill o:detectmouseclick="t"/>
              <v:textbox>
                <w:txbxContent>
                  <w:p w14:paraId="29630370" w14:textId="159B707A" w:rsidR="00B1166A" w:rsidRPr="00B1166A" w:rsidRDefault="00B1166A">
                    <w:pPr>
                      <w:rPr>
                        <w:rFonts w:ascii="Arial" w:hAnsi="Arial" w:cs="Arial"/>
                        <w:color w:val="FF8B3D"/>
                        <w:sz w:val="16"/>
                      </w:rPr>
                    </w:pPr>
                    <w:r w:rsidRPr="00B1166A">
                      <w:rPr>
                        <w:rFonts w:ascii="Arial" w:hAnsi="Arial" w:cs="Arial"/>
                        <w:color w:val="FF8B3D"/>
                        <w:sz w:val="16"/>
                      </w:rPr>
                      <w:t>BSE - CONFIDENTIAL</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873F1" w14:textId="77777777" w:rsidR="00B1166A" w:rsidRDefault="00B11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998BE" w14:textId="77777777" w:rsidR="00B1166A" w:rsidRDefault="00B1166A" w:rsidP="00B1166A">
      <w:pPr>
        <w:spacing w:after="0" w:line="240" w:lineRule="auto"/>
      </w:pPr>
      <w:r>
        <w:separator/>
      </w:r>
    </w:p>
  </w:footnote>
  <w:footnote w:type="continuationSeparator" w:id="0">
    <w:p w14:paraId="681AFFEC" w14:textId="77777777" w:rsidR="00B1166A" w:rsidRDefault="00B1166A" w:rsidP="00B11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D70B" w14:textId="77777777" w:rsidR="00B1166A" w:rsidRDefault="00B116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2773" w14:textId="77777777" w:rsidR="00B1166A" w:rsidRDefault="00B116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3370F" w14:textId="77777777" w:rsidR="00B1166A" w:rsidRDefault="00B116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566B9"/>
    <w:multiLevelType w:val="hybridMultilevel"/>
    <w:tmpl w:val="3286B632"/>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 w15:restartNumberingAfterBreak="0">
    <w:nsid w:val="43456539"/>
    <w:multiLevelType w:val="hybridMultilevel"/>
    <w:tmpl w:val="B09025A4"/>
    <w:lvl w:ilvl="0" w:tplc="9AB8EF6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16cid:durableId="1243565189">
    <w:abstractNumId w:val="1"/>
  </w:num>
  <w:num w:numId="2" w16cid:durableId="1919289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D4B"/>
    <w:rsid w:val="002C3046"/>
    <w:rsid w:val="00910387"/>
    <w:rsid w:val="00B1166A"/>
    <w:rsid w:val="00C441D3"/>
    <w:rsid w:val="00F56D4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110BBC"/>
  <w15:chartTrackingRefBased/>
  <w15:docId w15:val="{C75EAC3E-9901-4B55-95F5-1F4ABE8E4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D4B"/>
    <w:rPr>
      <w:kern w:val="0"/>
      <w14:ligatures w14:val="none"/>
    </w:rPr>
  </w:style>
  <w:style w:type="paragraph" w:styleId="Heading1">
    <w:name w:val="heading 1"/>
    <w:basedOn w:val="Normal"/>
    <w:next w:val="Normal"/>
    <w:link w:val="Heading1Char"/>
    <w:uiPriority w:val="9"/>
    <w:qFormat/>
    <w:rsid w:val="00F56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6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6D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6D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6D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6D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6D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6D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6D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D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6D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6D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6D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6D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6D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6D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6D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6D4B"/>
    <w:rPr>
      <w:rFonts w:eastAsiaTheme="majorEastAsia" w:cstheme="majorBidi"/>
      <w:color w:val="272727" w:themeColor="text1" w:themeTint="D8"/>
    </w:rPr>
  </w:style>
  <w:style w:type="paragraph" w:styleId="Title">
    <w:name w:val="Title"/>
    <w:basedOn w:val="Normal"/>
    <w:next w:val="Normal"/>
    <w:link w:val="TitleChar"/>
    <w:uiPriority w:val="10"/>
    <w:qFormat/>
    <w:rsid w:val="00F56D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D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6D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6D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6D4B"/>
    <w:pPr>
      <w:spacing w:before="160"/>
      <w:jc w:val="center"/>
    </w:pPr>
    <w:rPr>
      <w:i/>
      <w:iCs/>
      <w:color w:val="404040" w:themeColor="text1" w:themeTint="BF"/>
    </w:rPr>
  </w:style>
  <w:style w:type="character" w:customStyle="1" w:styleId="QuoteChar">
    <w:name w:val="Quote Char"/>
    <w:basedOn w:val="DefaultParagraphFont"/>
    <w:link w:val="Quote"/>
    <w:uiPriority w:val="29"/>
    <w:rsid w:val="00F56D4B"/>
    <w:rPr>
      <w:i/>
      <w:iCs/>
      <w:color w:val="404040" w:themeColor="text1" w:themeTint="BF"/>
    </w:rPr>
  </w:style>
  <w:style w:type="paragraph" w:styleId="ListParagraph">
    <w:name w:val="List Paragraph"/>
    <w:basedOn w:val="Normal"/>
    <w:qFormat/>
    <w:rsid w:val="00F56D4B"/>
    <w:pPr>
      <w:ind w:left="720"/>
      <w:contextualSpacing/>
    </w:pPr>
  </w:style>
  <w:style w:type="character" w:styleId="IntenseEmphasis">
    <w:name w:val="Intense Emphasis"/>
    <w:basedOn w:val="DefaultParagraphFont"/>
    <w:uiPriority w:val="21"/>
    <w:qFormat/>
    <w:rsid w:val="00F56D4B"/>
    <w:rPr>
      <w:i/>
      <w:iCs/>
      <w:color w:val="0F4761" w:themeColor="accent1" w:themeShade="BF"/>
    </w:rPr>
  </w:style>
  <w:style w:type="paragraph" w:styleId="IntenseQuote">
    <w:name w:val="Intense Quote"/>
    <w:basedOn w:val="Normal"/>
    <w:next w:val="Normal"/>
    <w:link w:val="IntenseQuoteChar"/>
    <w:uiPriority w:val="30"/>
    <w:qFormat/>
    <w:rsid w:val="00F56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6D4B"/>
    <w:rPr>
      <w:i/>
      <w:iCs/>
      <w:color w:val="0F4761" w:themeColor="accent1" w:themeShade="BF"/>
    </w:rPr>
  </w:style>
  <w:style w:type="character" w:styleId="IntenseReference">
    <w:name w:val="Intense Reference"/>
    <w:basedOn w:val="DefaultParagraphFont"/>
    <w:uiPriority w:val="32"/>
    <w:qFormat/>
    <w:rsid w:val="00F56D4B"/>
    <w:rPr>
      <w:b/>
      <w:bCs/>
      <w:smallCaps/>
      <w:color w:val="0F4761" w:themeColor="accent1" w:themeShade="BF"/>
      <w:spacing w:val="5"/>
    </w:rPr>
  </w:style>
  <w:style w:type="paragraph" w:customStyle="1" w:styleId="Default">
    <w:name w:val="Default"/>
    <w:rsid w:val="00F56D4B"/>
    <w:pPr>
      <w:autoSpaceDE w:val="0"/>
      <w:autoSpaceDN w:val="0"/>
      <w:adjustRightInd w:val="0"/>
      <w:spacing w:after="0" w:line="240" w:lineRule="auto"/>
    </w:pPr>
    <w:rPr>
      <w:rFonts w:ascii="Arial" w:hAnsi="Arial" w:cs="Arial"/>
      <w:color w:val="000000"/>
      <w:kern w:val="0"/>
      <w:sz w:val="24"/>
      <w:szCs w:val="24"/>
      <w14:ligatures w14:val="none"/>
    </w:rPr>
  </w:style>
  <w:style w:type="paragraph" w:styleId="BodyTextIndent">
    <w:name w:val="Body Text Indent"/>
    <w:basedOn w:val="Normal"/>
    <w:link w:val="BodyTextIndentChar"/>
    <w:uiPriority w:val="99"/>
    <w:unhideWhenUsed/>
    <w:rsid w:val="00F56D4B"/>
    <w:pPr>
      <w:spacing w:before="100" w:beforeAutospacing="1" w:after="100" w:afterAutospacing="1" w:line="240" w:lineRule="auto"/>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rsid w:val="00F56D4B"/>
    <w:rPr>
      <w:rFonts w:ascii="Times New Roman" w:hAnsi="Times New Roman" w:cs="Times New Roman"/>
      <w:kern w:val="0"/>
      <w:sz w:val="24"/>
      <w:szCs w:val="24"/>
      <w14:ligatures w14:val="none"/>
    </w:rPr>
  </w:style>
  <w:style w:type="paragraph" w:styleId="Header">
    <w:name w:val="header"/>
    <w:basedOn w:val="Normal"/>
    <w:link w:val="HeaderChar"/>
    <w:uiPriority w:val="99"/>
    <w:unhideWhenUsed/>
    <w:rsid w:val="00B11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166A"/>
    <w:rPr>
      <w:kern w:val="0"/>
      <w14:ligatures w14:val="none"/>
    </w:rPr>
  </w:style>
  <w:style w:type="paragraph" w:styleId="Footer">
    <w:name w:val="footer"/>
    <w:basedOn w:val="Normal"/>
    <w:link w:val="FooterChar"/>
    <w:uiPriority w:val="99"/>
    <w:unhideWhenUsed/>
    <w:rsid w:val="00B11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166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2024-03-11 19:50:59</KDate>
  <Classification>BSE - CONFIDENTIAL</Classification>
  <Subclassification/>
  <HostName>BSEF20WD133</HostName>
  <Domain_User>BSELTD/prakashk</Domain_User>
  <IPAdd>10.228.97.155</IPAdd>
  <FilePath>Document1</FilePath>
  <KID>F4939FEAA3B5638457834598939504</KID>
  <UniqueName>RCD,Purchase Order</UniqueName>
  <Suggested>BSE - CONFIDENTIAL</Suggested>
  <Justification/>
</Klassify>
</file>

<file path=customXml/itemProps1.xml><?xml version="1.0" encoding="utf-8"?>
<ds:datastoreItem xmlns:ds="http://schemas.openxmlformats.org/officeDocument/2006/customXml" ds:itemID="{816FCB7F-949A-4E8F-B4F4-6BC560F42514}">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Prakash Bhat</dc:creator>
  <cp:keywords/>
  <dc:description/>
  <cp:lastModifiedBy>Prakash Bhat</cp:lastModifiedBy>
  <cp:revision>3</cp:revision>
  <dcterms:created xsi:type="dcterms:W3CDTF">2024-03-11T14:06:00Z</dcterms:created>
  <dcterms:modified xsi:type="dcterms:W3CDTF">2024-03-12T13:19:00Z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CONFIDENTIAL</vt:lpwstr>
  </property>
  <property fmtid="{D5CDD505-2E9C-101B-9397-08002B2CF9AE}" pid="3" name="Rules">
    <vt:lpwstr>RCD,Purchase Order</vt:lpwstr>
  </property>
  <property fmtid="{D5CDD505-2E9C-101B-9397-08002B2CF9AE}" pid="4" name="Suggested_Category">
    <vt:lpwstr>BSE - CONFIDENTIAL</vt:lpwstr>
  </property>
  <property fmtid="{D5CDD505-2E9C-101B-9397-08002B2CF9AE}" pid="5" name="KID">
    <vt:lpwstr>F4939FEAA3B5638457834598939504</vt:lpwstr>
  </property>
</Properties>
</file>