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17C" w:rsidRPr="00644EFC" w:rsidRDefault="0018717C" w:rsidP="00DE28E3">
      <w:pPr>
        <w:pStyle w:val="Default"/>
        <w:spacing w:line="276" w:lineRule="auto"/>
        <w:jc w:val="both"/>
      </w:pPr>
    </w:p>
    <w:p w:rsidR="002F358F" w:rsidRDefault="0067645B" w:rsidP="002F358F">
      <w:pPr>
        <w:spacing w:after="0" w:line="273" w:lineRule="exact"/>
        <w:jc w:val="center"/>
        <w:textAlignment w:val="baseline"/>
        <w:rPr>
          <w:rFonts w:ascii="Verdana" w:eastAsia="Times" w:hAnsi="Verdana"/>
          <w:b/>
          <w:sz w:val="20"/>
          <w:szCs w:val="20"/>
        </w:rPr>
      </w:pPr>
      <w:r w:rsidRPr="00644EFC">
        <w:t xml:space="preserve"> </w:t>
      </w:r>
      <w:r w:rsidR="002F358F">
        <w:rPr>
          <w:rFonts w:ascii="Verdana" w:eastAsia="Times" w:hAnsi="Verdana"/>
          <w:b/>
          <w:sz w:val="20"/>
          <w:szCs w:val="20"/>
        </w:rPr>
        <w:t xml:space="preserve">Consolidated Master Circular </w:t>
      </w:r>
    </w:p>
    <w:p w:rsidR="002F358F" w:rsidRDefault="002F358F" w:rsidP="002F358F">
      <w:pPr>
        <w:spacing w:after="0" w:line="273" w:lineRule="exact"/>
        <w:jc w:val="center"/>
        <w:textAlignment w:val="baseline"/>
        <w:rPr>
          <w:rFonts w:ascii="Verdana" w:eastAsia="Times" w:hAnsi="Verdana"/>
          <w:b/>
          <w:sz w:val="20"/>
          <w:szCs w:val="20"/>
        </w:rPr>
      </w:pPr>
      <w:r>
        <w:rPr>
          <w:rFonts w:ascii="Verdana" w:eastAsia="Times" w:hAnsi="Verdana"/>
          <w:b/>
          <w:sz w:val="20"/>
          <w:szCs w:val="20"/>
        </w:rPr>
        <w:t>Equity Derivatives Segment</w:t>
      </w:r>
    </w:p>
    <w:p w:rsidR="002F358F" w:rsidRDefault="002F358F" w:rsidP="002F358F">
      <w:pPr>
        <w:spacing w:line="273" w:lineRule="exact"/>
        <w:jc w:val="center"/>
        <w:textAlignment w:val="baseline"/>
        <w:rPr>
          <w:rFonts w:ascii="Verdana" w:eastAsia="Times" w:hAnsi="Verdana"/>
          <w:b/>
          <w:sz w:val="20"/>
          <w:szCs w:val="20"/>
        </w:rPr>
      </w:pPr>
      <w:r>
        <w:rPr>
          <w:rFonts w:ascii="Verdana" w:eastAsia="Times" w:hAnsi="Verdana"/>
          <w:b/>
          <w:sz w:val="20"/>
          <w:szCs w:val="20"/>
        </w:rPr>
        <w:t>(</w:t>
      </w:r>
      <w:r>
        <w:rPr>
          <w:rFonts w:ascii="Verdana" w:eastAsia="Times" w:hAnsi="Verdana"/>
          <w:i/>
          <w:sz w:val="20"/>
          <w:szCs w:val="20"/>
        </w:rPr>
        <w:t xml:space="preserve">As on </w:t>
      </w:r>
      <w:r w:rsidR="00DD32D6">
        <w:rPr>
          <w:rFonts w:ascii="Verdana" w:eastAsia="Times" w:hAnsi="Verdana"/>
          <w:i/>
          <w:sz w:val="20"/>
          <w:szCs w:val="20"/>
        </w:rPr>
        <w:t>December 30, 2016</w:t>
      </w:r>
      <w:r>
        <w:rPr>
          <w:rFonts w:ascii="Verdana" w:eastAsia="Times" w:hAnsi="Verdana"/>
          <w:b/>
          <w:sz w:val="20"/>
          <w:szCs w:val="20"/>
        </w:rPr>
        <w:t>)</w:t>
      </w:r>
    </w:p>
    <w:p w:rsidR="002F358F" w:rsidRPr="00644EFC" w:rsidRDefault="002F358F" w:rsidP="002F358F">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jc w:val="both"/>
        <w:rPr>
          <w:rFonts w:ascii="Times New Roman" w:hAnsi="Times New Roman" w:cs="Times New Roman"/>
          <w:color w:val="000000"/>
          <w:sz w:val="23"/>
          <w:szCs w:val="23"/>
        </w:rPr>
      </w:pPr>
      <w:bookmarkStart w:id="0" w:name="_top"/>
      <w:bookmarkEnd w:id="0"/>
      <w:r w:rsidRPr="00644EFC">
        <w:rPr>
          <w:rFonts w:ascii="Times New Roman" w:hAnsi="Times New Roman" w:cs="Times New Roman"/>
          <w:b/>
          <w:bCs/>
          <w:color w:val="000000"/>
          <w:sz w:val="23"/>
          <w:szCs w:val="23"/>
        </w:rPr>
        <w:t xml:space="preserve">Item 1 </w:t>
      </w:r>
    </w:p>
    <w:p w:rsidR="002F358F" w:rsidRPr="00644EFC" w:rsidRDefault="002F358F" w:rsidP="002F358F">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jc w:val="both"/>
        <w:rPr>
          <w:rFonts w:ascii="Times New Roman" w:hAnsi="Times New Roman" w:cs="Times New Roman"/>
          <w:b/>
          <w:bCs/>
          <w:color w:val="000000"/>
          <w:sz w:val="23"/>
          <w:szCs w:val="23"/>
        </w:rPr>
      </w:pPr>
      <w:r w:rsidRPr="00644EFC">
        <w:rPr>
          <w:rFonts w:ascii="Times New Roman" w:hAnsi="Times New Roman" w:cs="Times New Roman"/>
          <w:b/>
          <w:bCs/>
          <w:color w:val="000000"/>
          <w:sz w:val="23"/>
          <w:szCs w:val="23"/>
        </w:rPr>
        <w:t>POSITION LIMITS</w:t>
      </w:r>
    </w:p>
    <w:p w:rsidR="002F358F" w:rsidRPr="00644EFC" w:rsidRDefault="00573B40" w:rsidP="002F358F">
      <w:pPr>
        <w:pStyle w:val="Default"/>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both"/>
        <w:rPr>
          <w:sz w:val="23"/>
          <w:szCs w:val="23"/>
        </w:rPr>
      </w:pPr>
      <w:hyperlink w:anchor="_Market_Wide_Position" w:history="1">
        <w:r w:rsidR="002F358F" w:rsidRPr="00644EFC">
          <w:rPr>
            <w:rStyle w:val="Hyperlink"/>
            <w:bCs/>
            <w:sz w:val="23"/>
            <w:szCs w:val="23"/>
          </w:rPr>
          <w:t>Market Wi</w:t>
        </w:r>
        <w:r w:rsidR="002F358F" w:rsidRPr="00644EFC">
          <w:rPr>
            <w:rStyle w:val="Hyperlink"/>
            <w:bCs/>
            <w:sz w:val="23"/>
            <w:szCs w:val="23"/>
          </w:rPr>
          <w:t>d</w:t>
        </w:r>
        <w:r w:rsidR="002F358F" w:rsidRPr="00644EFC">
          <w:rPr>
            <w:rStyle w:val="Hyperlink"/>
            <w:bCs/>
            <w:sz w:val="23"/>
            <w:szCs w:val="23"/>
          </w:rPr>
          <w:t>e Position Limits for derivative contracts on underlying stocks</w:t>
        </w:r>
      </w:hyperlink>
    </w:p>
    <w:p w:rsidR="002F358F" w:rsidRPr="00644EFC" w:rsidRDefault="00573B40" w:rsidP="002F358F">
      <w:pPr>
        <w:pStyle w:val="Default"/>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both"/>
        <w:rPr>
          <w:sz w:val="23"/>
          <w:szCs w:val="23"/>
        </w:rPr>
      </w:pPr>
      <w:hyperlink w:anchor="_1.2_Market_Wide" w:history="1">
        <w:r w:rsidR="002F358F" w:rsidRPr="00644EFC">
          <w:rPr>
            <w:rStyle w:val="Hyperlink"/>
            <w:sz w:val="23"/>
            <w:szCs w:val="23"/>
          </w:rPr>
          <w:t>Market Wide Position Limit across Stock Exchanges</w:t>
        </w:r>
      </w:hyperlink>
    </w:p>
    <w:p w:rsidR="002F358F" w:rsidRPr="00644EFC" w:rsidRDefault="00573B40" w:rsidP="002F358F">
      <w:pPr>
        <w:pStyle w:val="Default"/>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both"/>
      </w:pPr>
      <w:hyperlink w:anchor="_Trading_Member_wise" w:history="1">
        <w:r w:rsidR="002F358F" w:rsidRPr="00644EFC">
          <w:rPr>
            <w:rStyle w:val="Hyperlink"/>
          </w:rPr>
          <w:t>Trading Member wise Position Limit</w:t>
        </w:r>
      </w:hyperlink>
    </w:p>
    <w:p w:rsidR="002F358F" w:rsidRPr="00644EFC" w:rsidRDefault="00573B40" w:rsidP="002F358F">
      <w:pPr>
        <w:pStyle w:val="Default"/>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both"/>
        <w:rPr>
          <w:bCs/>
          <w:sz w:val="23"/>
          <w:szCs w:val="23"/>
        </w:rPr>
      </w:pPr>
      <w:hyperlink w:anchor="_1.4_Position_Limits" w:history="1">
        <w:r w:rsidR="002F358F" w:rsidRPr="00644EFC">
          <w:rPr>
            <w:rStyle w:val="Hyperlink"/>
          </w:rPr>
          <w:t>Position Limits for FII/ FPI category I &amp; II and MF</w:t>
        </w:r>
      </w:hyperlink>
      <w:r w:rsidR="002F358F" w:rsidRPr="00644EFC">
        <w:rPr>
          <w:bCs/>
          <w:sz w:val="23"/>
          <w:szCs w:val="23"/>
        </w:rPr>
        <w:t xml:space="preserve"> </w:t>
      </w:r>
    </w:p>
    <w:p w:rsidR="002F358F" w:rsidRPr="00644EFC" w:rsidRDefault="00573B40" w:rsidP="002F358F">
      <w:pPr>
        <w:pStyle w:val="Default"/>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both"/>
        <w:rPr>
          <w:bCs/>
          <w:sz w:val="23"/>
          <w:szCs w:val="23"/>
        </w:rPr>
      </w:pPr>
      <w:hyperlink w:anchor="_1.5_Position_Limits" w:history="1">
        <w:r w:rsidR="002F358F" w:rsidRPr="00644EFC">
          <w:rPr>
            <w:rStyle w:val="Hyperlink"/>
            <w:bCs/>
            <w:sz w:val="23"/>
            <w:szCs w:val="23"/>
          </w:rPr>
          <w:t>Position Limits for Clients/ FPI Category III/ Schemes of Mutual Funds &amp; Sub-Accounts</w:t>
        </w:r>
      </w:hyperlink>
    </w:p>
    <w:p w:rsidR="002F358F" w:rsidRPr="00644EFC" w:rsidRDefault="00573B40" w:rsidP="002F358F">
      <w:pPr>
        <w:pStyle w:val="Default"/>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both"/>
      </w:pPr>
      <w:hyperlink w:anchor="_1.6_Monitoring_of" w:history="1">
        <w:r w:rsidR="002F358F" w:rsidRPr="00644EFC">
          <w:rPr>
            <w:rStyle w:val="Hyperlink"/>
          </w:rPr>
          <w:t>Monitoring of Positions based on Unique Client Codes</w:t>
        </w:r>
      </w:hyperlink>
      <w:r w:rsidR="002F358F" w:rsidRPr="00644EFC">
        <w:t xml:space="preserve"> </w:t>
      </w:r>
    </w:p>
    <w:p w:rsidR="002F358F" w:rsidRPr="00644EFC" w:rsidRDefault="00573B40" w:rsidP="002F358F">
      <w:pPr>
        <w:pStyle w:val="Default"/>
        <w:numPr>
          <w:ilvl w:val="1"/>
          <w:numId w:val="1"/>
        </w:num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both"/>
        <w:rPr>
          <w:sz w:val="23"/>
          <w:szCs w:val="23"/>
        </w:rPr>
      </w:pPr>
      <w:hyperlink w:anchor="_1.7__Market" w:history="1">
        <w:r w:rsidR="002F358F" w:rsidRPr="00644EFC">
          <w:rPr>
            <w:rStyle w:val="Hyperlink"/>
          </w:rPr>
          <w:t>Market wide Position Limit violation &amp; penalties</w:t>
        </w:r>
      </w:hyperlink>
    </w:p>
    <w:p w:rsidR="002F358F" w:rsidRPr="00644EFC" w:rsidRDefault="002F358F" w:rsidP="002F358F">
      <w:pPr>
        <w:pStyle w:val="Default"/>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both"/>
        <w:rPr>
          <w:bCs/>
          <w:sz w:val="23"/>
          <w:szCs w:val="23"/>
        </w:rPr>
      </w:pPr>
    </w:p>
    <w:p w:rsidR="002F358F" w:rsidRPr="00644EFC" w:rsidRDefault="002F358F" w:rsidP="002F358F">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jc w:val="both"/>
        <w:rPr>
          <w:rFonts w:ascii="Times New Roman" w:hAnsi="Times New Roman" w:cs="Times New Roman"/>
          <w:color w:val="000000"/>
          <w:sz w:val="23"/>
          <w:szCs w:val="23"/>
        </w:rPr>
      </w:pPr>
      <w:r w:rsidRPr="00644EFC">
        <w:rPr>
          <w:rFonts w:ascii="Times New Roman" w:hAnsi="Times New Roman" w:cs="Times New Roman"/>
          <w:b/>
          <w:bCs/>
          <w:color w:val="000000"/>
          <w:sz w:val="23"/>
          <w:szCs w:val="23"/>
        </w:rPr>
        <w:t xml:space="preserve">Item 2 </w:t>
      </w:r>
    </w:p>
    <w:p w:rsidR="002F358F" w:rsidRPr="00644EFC" w:rsidRDefault="002F358F" w:rsidP="002F358F">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jc w:val="both"/>
        <w:rPr>
          <w:rFonts w:ascii="Times New Roman" w:hAnsi="Times New Roman" w:cs="Times New Roman"/>
          <w:b/>
          <w:bCs/>
          <w:color w:val="000000"/>
          <w:sz w:val="23"/>
          <w:szCs w:val="23"/>
        </w:rPr>
      </w:pPr>
      <w:r w:rsidRPr="00644EFC">
        <w:rPr>
          <w:rFonts w:ascii="Times New Roman" w:hAnsi="Times New Roman" w:cs="Times New Roman"/>
          <w:b/>
          <w:bCs/>
          <w:color w:val="000000"/>
          <w:sz w:val="23"/>
          <w:szCs w:val="23"/>
        </w:rPr>
        <w:t xml:space="preserve">MARKET PARAMETERS </w:t>
      </w:r>
    </w:p>
    <w:p w:rsidR="002F358F" w:rsidRDefault="002F358F" w:rsidP="002F358F">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jc w:val="both"/>
        <w:rPr>
          <w:rStyle w:val="Hyperlink"/>
          <w:rFonts w:ascii="Times New Roman" w:hAnsi="Times New Roman" w:cs="Times New Roman"/>
          <w:bCs/>
          <w:sz w:val="23"/>
          <w:szCs w:val="23"/>
        </w:rPr>
      </w:pPr>
      <w:r>
        <w:rPr>
          <w:rFonts w:ascii="Times New Roman" w:hAnsi="Times New Roman" w:cs="Times New Roman"/>
          <w:color w:val="000000"/>
          <w:sz w:val="23"/>
          <w:szCs w:val="23"/>
        </w:rPr>
        <w:t>2.1</w:t>
      </w:r>
      <w:hyperlink w:anchor="_2_Dynamic_Circuit" w:history="1">
        <w:r w:rsidRPr="00644EFC">
          <w:rPr>
            <w:rStyle w:val="Hyperlink"/>
            <w:rFonts w:ascii="Times New Roman" w:hAnsi="Times New Roman" w:cs="Times New Roman"/>
            <w:bCs/>
            <w:sz w:val="23"/>
            <w:szCs w:val="23"/>
          </w:rPr>
          <w:t>Dynamic Circuit Filter</w:t>
        </w:r>
      </w:hyperlink>
    </w:p>
    <w:p w:rsidR="002F358F" w:rsidRDefault="00573B40" w:rsidP="002F358F">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jc w:val="both"/>
        <w:rPr>
          <w:rStyle w:val="Hyperlink"/>
          <w:rFonts w:ascii="Times New Roman" w:hAnsi="Times New Roman" w:cs="Times New Roman"/>
          <w:bCs/>
          <w:sz w:val="23"/>
          <w:szCs w:val="23"/>
        </w:rPr>
      </w:pPr>
      <w:hyperlink w:anchor="_2.2_Introduction_of" w:history="1">
        <w:r w:rsidR="002F358F" w:rsidRPr="00175CFE">
          <w:rPr>
            <w:rStyle w:val="Hyperlink"/>
            <w:rFonts w:ascii="Times New Roman" w:hAnsi="Times New Roman" w:cs="Times New Roman"/>
            <w:bCs/>
            <w:sz w:val="23"/>
            <w:szCs w:val="23"/>
            <w:u w:val="none"/>
          </w:rPr>
          <w:t xml:space="preserve">2.2 </w:t>
        </w:r>
        <w:r w:rsidR="002F358F" w:rsidRPr="00175CFE">
          <w:rPr>
            <w:rStyle w:val="Hyperlink"/>
            <w:rFonts w:ascii="Times New Roman" w:hAnsi="Times New Roman" w:cs="Times New Roman"/>
            <w:bCs/>
            <w:sz w:val="23"/>
            <w:szCs w:val="23"/>
          </w:rPr>
          <w:t>Introduction of Paired Option contracts in Equity Derivatives Segment</w:t>
        </w:r>
      </w:hyperlink>
    </w:p>
    <w:p w:rsidR="002F358F" w:rsidRDefault="00573B40" w:rsidP="002F358F">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jc w:val="both"/>
        <w:rPr>
          <w:rFonts w:ascii="Times New Roman" w:hAnsi="Times New Roman" w:cs="Times New Roman"/>
          <w:color w:val="000000"/>
          <w:sz w:val="23"/>
          <w:szCs w:val="23"/>
        </w:rPr>
      </w:pPr>
      <w:hyperlink w:anchor="_2.3_PAN-based_Self-trade" w:history="1">
        <w:r w:rsidR="002F358F" w:rsidRPr="00175CFE">
          <w:rPr>
            <w:rStyle w:val="Hyperlink"/>
            <w:rFonts w:ascii="Times New Roman" w:hAnsi="Times New Roman" w:cs="Times New Roman"/>
            <w:bCs/>
            <w:color w:val="auto"/>
            <w:sz w:val="23"/>
            <w:szCs w:val="23"/>
          </w:rPr>
          <w:t xml:space="preserve">2.3 </w:t>
        </w:r>
        <w:r w:rsidR="002F358F" w:rsidRPr="007D6030">
          <w:rPr>
            <w:rStyle w:val="Hyperlink"/>
            <w:rFonts w:ascii="Times New Roman" w:hAnsi="Times New Roman" w:cs="Times New Roman"/>
            <w:bCs/>
            <w:sz w:val="23"/>
            <w:szCs w:val="23"/>
          </w:rPr>
          <w:t>PAN-based Self-trade Prevention Check Functionality for Equity Derivatives segment3</w:t>
        </w:r>
      </w:hyperlink>
      <w:r w:rsidR="002F358F" w:rsidRPr="001151A4">
        <w:rPr>
          <w:rStyle w:val="Hyperlink"/>
          <w:rFonts w:ascii="Times New Roman" w:hAnsi="Times New Roman" w:cs="Times New Roman"/>
          <w:bCs/>
          <w:sz w:val="23"/>
          <w:szCs w:val="23"/>
        </w:rPr>
        <w:t xml:space="preserve"> </w:t>
      </w:r>
    </w:p>
    <w:p w:rsidR="002F358F" w:rsidRDefault="002F358F" w:rsidP="002F358F">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jc w:val="both"/>
        <w:rPr>
          <w:rStyle w:val="Hyperlink"/>
          <w:rFonts w:ascii="Times New Roman" w:hAnsi="Times New Roman" w:cs="Times New Roman"/>
          <w:bCs/>
          <w:sz w:val="23"/>
          <w:szCs w:val="23"/>
        </w:rPr>
      </w:pPr>
      <w:r w:rsidRPr="00006609">
        <w:rPr>
          <w:rFonts w:ascii="Times New Roman" w:hAnsi="Times New Roman" w:cs="Times New Roman"/>
          <w:color w:val="000000"/>
          <w:sz w:val="23"/>
          <w:szCs w:val="23"/>
        </w:rPr>
        <w:t xml:space="preserve">2.4 </w:t>
      </w:r>
      <w:hyperlink w:anchor="_2.4_Policy_for" w:history="1">
        <w:r w:rsidRPr="007D6030">
          <w:rPr>
            <w:rStyle w:val="Hyperlink"/>
            <w:rFonts w:ascii="Times New Roman" w:hAnsi="Times New Roman" w:cs="Times New Roman"/>
            <w:sz w:val="23"/>
            <w:szCs w:val="23"/>
          </w:rPr>
          <w:t xml:space="preserve"> Policy for Annulment of trades undertaken on BSE Trading platform</w:t>
        </w:r>
      </w:hyperlink>
    </w:p>
    <w:p w:rsidR="002F358F" w:rsidRPr="00175CFE" w:rsidRDefault="002F358F" w:rsidP="002F358F">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jc w:val="both"/>
        <w:rPr>
          <w:rStyle w:val="Hyperlink"/>
          <w:bCs/>
        </w:rPr>
      </w:pPr>
      <w:r w:rsidRPr="00175CFE">
        <w:rPr>
          <w:rStyle w:val="Hyperlink"/>
          <w:rFonts w:ascii="Times New Roman" w:hAnsi="Times New Roman" w:cs="Times New Roman"/>
          <w:bCs/>
          <w:color w:val="auto"/>
          <w:sz w:val="23"/>
          <w:szCs w:val="23"/>
          <w:u w:val="none"/>
        </w:rPr>
        <w:t xml:space="preserve">2.5 </w:t>
      </w:r>
      <w:hyperlink w:anchor="_2.5_Introducing_Price" w:history="1">
        <w:r w:rsidRPr="007D6030">
          <w:rPr>
            <w:rStyle w:val="Hyperlink"/>
            <w:rFonts w:ascii="Times New Roman" w:hAnsi="Times New Roman" w:cs="Times New Roman"/>
            <w:bCs/>
            <w:sz w:val="23"/>
            <w:szCs w:val="23"/>
          </w:rPr>
          <w:t xml:space="preserve"> Introducing Price Reasonability Check for Equity Derivatives Segment</w:t>
        </w:r>
      </w:hyperlink>
    </w:p>
    <w:p w:rsidR="002F358F" w:rsidRDefault="002F358F" w:rsidP="002F358F">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jc w:val="both"/>
        <w:rPr>
          <w:rFonts w:ascii="Times New Roman" w:hAnsi="Times New Roman" w:cs="Times New Roman"/>
          <w:color w:val="000000"/>
          <w:sz w:val="23"/>
          <w:szCs w:val="23"/>
        </w:rPr>
      </w:pPr>
      <w:r>
        <w:rPr>
          <w:rFonts w:ascii="Times New Roman" w:hAnsi="Times New Roman" w:cs="Times New Roman"/>
          <w:color w:val="000000"/>
          <w:sz w:val="23"/>
          <w:szCs w:val="23"/>
        </w:rPr>
        <w:t xml:space="preserve">2.6 </w:t>
      </w:r>
      <w:hyperlink w:anchor="_2.6_Prevention_of" w:history="1">
        <w:r w:rsidRPr="002D172F">
          <w:rPr>
            <w:rStyle w:val="Hyperlink"/>
            <w:rFonts w:ascii="Times New Roman" w:hAnsi="Times New Roman" w:cs="Times New Roman"/>
            <w:sz w:val="23"/>
            <w:szCs w:val="23"/>
          </w:rPr>
          <w:t>Prevention of Reversal Trades in Equity Derivatives segment</w:t>
        </w:r>
      </w:hyperlink>
    </w:p>
    <w:p w:rsidR="002F358F" w:rsidRPr="00644EFC" w:rsidRDefault="002F358F" w:rsidP="002F358F">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jc w:val="both"/>
        <w:rPr>
          <w:rFonts w:ascii="Times New Roman" w:hAnsi="Times New Roman" w:cs="Times New Roman"/>
          <w:color w:val="000000"/>
          <w:sz w:val="23"/>
          <w:szCs w:val="23"/>
        </w:rPr>
      </w:pPr>
    </w:p>
    <w:p w:rsidR="002F358F" w:rsidRPr="00644EFC" w:rsidRDefault="002F358F" w:rsidP="002F358F">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jc w:val="both"/>
        <w:rPr>
          <w:rFonts w:ascii="Times New Roman" w:hAnsi="Times New Roman" w:cs="Times New Roman"/>
          <w:color w:val="000000"/>
          <w:sz w:val="23"/>
          <w:szCs w:val="23"/>
        </w:rPr>
      </w:pPr>
      <w:r w:rsidRPr="00644EFC">
        <w:rPr>
          <w:rFonts w:ascii="Times New Roman" w:hAnsi="Times New Roman" w:cs="Times New Roman"/>
          <w:b/>
          <w:bCs/>
          <w:color w:val="000000"/>
          <w:sz w:val="23"/>
          <w:szCs w:val="23"/>
        </w:rPr>
        <w:t>Item 3</w:t>
      </w:r>
    </w:p>
    <w:p w:rsidR="002F358F" w:rsidRPr="00644EFC" w:rsidRDefault="002F358F" w:rsidP="002F358F">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jc w:val="both"/>
        <w:rPr>
          <w:rFonts w:ascii="Times New Roman" w:hAnsi="Times New Roman" w:cs="Times New Roman"/>
          <w:b/>
          <w:bCs/>
          <w:color w:val="000000"/>
          <w:sz w:val="23"/>
          <w:szCs w:val="23"/>
        </w:rPr>
      </w:pPr>
      <w:r w:rsidRPr="00644EFC">
        <w:rPr>
          <w:rFonts w:ascii="Times New Roman" w:hAnsi="Times New Roman" w:cs="Times New Roman"/>
          <w:b/>
          <w:bCs/>
          <w:color w:val="000000"/>
          <w:sz w:val="23"/>
          <w:szCs w:val="23"/>
        </w:rPr>
        <w:t>Market Wide Circuit Breakers</w:t>
      </w:r>
    </w:p>
    <w:p w:rsidR="002F358F" w:rsidRPr="00644EFC" w:rsidRDefault="002F358F" w:rsidP="002F358F">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jc w:val="both"/>
        <w:rPr>
          <w:rFonts w:ascii="Times New Roman" w:hAnsi="Times New Roman" w:cs="Times New Roman"/>
          <w:bCs/>
          <w:color w:val="000000"/>
          <w:sz w:val="23"/>
          <w:szCs w:val="23"/>
        </w:rPr>
      </w:pPr>
      <w:r w:rsidRPr="00644EFC">
        <w:rPr>
          <w:rFonts w:ascii="Times New Roman" w:hAnsi="Times New Roman" w:cs="Times New Roman"/>
          <w:color w:val="000000"/>
          <w:sz w:val="23"/>
          <w:szCs w:val="23"/>
        </w:rPr>
        <w:t xml:space="preserve">3.1 </w:t>
      </w:r>
      <w:hyperlink w:anchor="_3._Index_based_1" w:history="1">
        <w:r w:rsidRPr="00644EFC">
          <w:rPr>
            <w:rStyle w:val="Hyperlink"/>
            <w:rFonts w:ascii="Times New Roman" w:hAnsi="Times New Roman" w:cs="Times New Roman"/>
            <w:bCs/>
            <w:sz w:val="23"/>
            <w:szCs w:val="23"/>
          </w:rPr>
          <w:t>Index based market-wide circuit breaker mechanism</w:t>
        </w:r>
      </w:hyperlink>
    </w:p>
    <w:p w:rsidR="002F358F" w:rsidRPr="00644EFC" w:rsidRDefault="002F358F" w:rsidP="002F358F">
      <w:pPr>
        <w:pStyle w:val="Default"/>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both"/>
      </w:pPr>
    </w:p>
    <w:p w:rsidR="002F358F" w:rsidRPr="00644EFC" w:rsidRDefault="002F358F" w:rsidP="002F358F">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jc w:val="both"/>
        <w:rPr>
          <w:rFonts w:ascii="Times New Roman" w:hAnsi="Times New Roman" w:cs="Times New Roman"/>
          <w:b/>
          <w:bCs/>
          <w:color w:val="000000"/>
          <w:sz w:val="23"/>
          <w:szCs w:val="23"/>
        </w:rPr>
      </w:pPr>
      <w:r w:rsidRPr="00644EFC">
        <w:rPr>
          <w:rFonts w:ascii="Times New Roman" w:hAnsi="Times New Roman" w:cs="Times New Roman"/>
          <w:b/>
          <w:bCs/>
          <w:color w:val="000000"/>
          <w:sz w:val="23"/>
          <w:szCs w:val="23"/>
        </w:rPr>
        <w:t>Item 4</w:t>
      </w:r>
    </w:p>
    <w:p w:rsidR="002F358F" w:rsidRPr="00644EFC" w:rsidRDefault="002F358F" w:rsidP="002F358F">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jc w:val="both"/>
        <w:rPr>
          <w:rFonts w:ascii="Times New Roman" w:hAnsi="Times New Roman" w:cs="Times New Roman"/>
          <w:b/>
          <w:bCs/>
          <w:color w:val="000000"/>
          <w:sz w:val="23"/>
          <w:szCs w:val="23"/>
        </w:rPr>
      </w:pPr>
      <w:r w:rsidRPr="00644EFC">
        <w:rPr>
          <w:rFonts w:ascii="Times New Roman" w:hAnsi="Times New Roman" w:cs="Times New Roman"/>
          <w:b/>
          <w:bCs/>
          <w:color w:val="000000"/>
          <w:sz w:val="23"/>
          <w:szCs w:val="23"/>
        </w:rPr>
        <w:t>Surveillance Alerts and Measures</w:t>
      </w:r>
    </w:p>
    <w:p w:rsidR="002F358F" w:rsidRPr="00644EFC" w:rsidRDefault="002F358F" w:rsidP="002F358F">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jc w:val="both"/>
        <w:rPr>
          <w:rFonts w:ascii="Times New Roman" w:hAnsi="Times New Roman" w:cs="Times New Roman"/>
          <w:bCs/>
          <w:color w:val="000000"/>
          <w:sz w:val="23"/>
          <w:szCs w:val="23"/>
        </w:rPr>
      </w:pPr>
      <w:r w:rsidRPr="00644EFC">
        <w:rPr>
          <w:rFonts w:ascii="Times New Roman" w:hAnsi="Times New Roman" w:cs="Times New Roman"/>
          <w:bCs/>
          <w:color w:val="000000"/>
          <w:sz w:val="23"/>
          <w:szCs w:val="23"/>
        </w:rPr>
        <w:t xml:space="preserve">4.1 </w:t>
      </w:r>
      <w:hyperlink w:anchor="_4._Trading_and" w:history="1">
        <w:r w:rsidRPr="00644EFC">
          <w:rPr>
            <w:rStyle w:val="Hyperlink"/>
            <w:rFonts w:ascii="Times New Roman" w:hAnsi="Times New Roman" w:cs="Times New Roman"/>
            <w:bCs/>
            <w:sz w:val="23"/>
            <w:szCs w:val="23"/>
          </w:rPr>
          <w:t>Surveillance Obligations for Trading Members</w:t>
        </w:r>
      </w:hyperlink>
    </w:p>
    <w:p w:rsidR="002F358F" w:rsidRDefault="002F358F" w:rsidP="002F358F">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jc w:val="both"/>
        <w:rPr>
          <w:rFonts w:ascii="Times New Roman" w:hAnsi="Times New Roman" w:cs="Times New Roman"/>
          <w:color w:val="000000"/>
          <w:sz w:val="23"/>
          <w:szCs w:val="23"/>
        </w:rPr>
      </w:pPr>
    </w:p>
    <w:p w:rsidR="002F358F" w:rsidRPr="00644EFC" w:rsidRDefault="002F358F" w:rsidP="002F358F">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jc w:val="both"/>
        <w:rPr>
          <w:rFonts w:ascii="Times New Roman" w:hAnsi="Times New Roman" w:cs="Times New Roman"/>
          <w:b/>
          <w:bCs/>
          <w:color w:val="000000"/>
          <w:sz w:val="23"/>
          <w:szCs w:val="23"/>
        </w:rPr>
      </w:pPr>
      <w:r w:rsidRPr="00644EFC">
        <w:rPr>
          <w:rFonts w:ascii="Times New Roman" w:hAnsi="Times New Roman" w:cs="Times New Roman"/>
          <w:b/>
          <w:bCs/>
          <w:color w:val="000000"/>
          <w:sz w:val="23"/>
          <w:szCs w:val="23"/>
        </w:rPr>
        <w:t>Item 5</w:t>
      </w:r>
    </w:p>
    <w:p w:rsidR="002F358F" w:rsidRPr="00644EFC" w:rsidRDefault="002F358F" w:rsidP="002F358F">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jc w:val="both"/>
        <w:rPr>
          <w:rStyle w:val="Hyperlink"/>
          <w:rFonts w:ascii="Times New Roman" w:hAnsi="Times New Roman" w:cs="Times New Roman"/>
          <w:sz w:val="23"/>
          <w:szCs w:val="23"/>
        </w:rPr>
      </w:pPr>
      <w:r w:rsidRPr="00644EFC">
        <w:rPr>
          <w:rFonts w:ascii="Times New Roman" w:hAnsi="Times New Roman" w:cs="Times New Roman"/>
          <w:color w:val="000000"/>
          <w:sz w:val="23"/>
          <w:szCs w:val="23"/>
        </w:rPr>
        <w:t xml:space="preserve">5.1 </w:t>
      </w:r>
      <w:r w:rsidRPr="00644EFC">
        <w:rPr>
          <w:rFonts w:ascii="Times New Roman" w:hAnsi="Times New Roman" w:cs="Times New Roman"/>
          <w:color w:val="000000"/>
          <w:sz w:val="23"/>
          <w:szCs w:val="23"/>
        </w:rPr>
        <w:fldChar w:fldCharType="begin"/>
      </w:r>
      <w:r w:rsidRPr="00644EFC">
        <w:rPr>
          <w:rFonts w:ascii="Times New Roman" w:hAnsi="Times New Roman" w:cs="Times New Roman"/>
          <w:color w:val="000000"/>
          <w:sz w:val="23"/>
          <w:szCs w:val="23"/>
        </w:rPr>
        <w:instrText xml:space="preserve"> HYPERLINK  \l "_5._Regulatory_Disclosures" </w:instrText>
      </w:r>
      <w:r w:rsidRPr="00644EFC">
        <w:rPr>
          <w:rFonts w:ascii="Times New Roman" w:hAnsi="Times New Roman" w:cs="Times New Roman"/>
          <w:color w:val="000000"/>
          <w:sz w:val="23"/>
          <w:szCs w:val="23"/>
        </w:rPr>
        <w:fldChar w:fldCharType="separate"/>
      </w:r>
      <w:r w:rsidRPr="00644EFC">
        <w:rPr>
          <w:rStyle w:val="Hyperlink"/>
          <w:rFonts w:ascii="Times New Roman" w:hAnsi="Times New Roman" w:cs="Times New Roman"/>
          <w:sz w:val="23"/>
          <w:szCs w:val="23"/>
        </w:rPr>
        <w:t>Regulatory Disclosures Made by the Exchange</w:t>
      </w:r>
    </w:p>
    <w:p w:rsidR="002F358F" w:rsidRDefault="002F358F" w:rsidP="002F358F">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jc w:val="both"/>
        <w:rPr>
          <w:rFonts w:ascii="Times New Roman" w:hAnsi="Times New Roman" w:cs="Times New Roman"/>
          <w:color w:val="000000"/>
          <w:sz w:val="23"/>
          <w:szCs w:val="23"/>
        </w:rPr>
      </w:pPr>
      <w:r w:rsidRPr="00644EFC">
        <w:rPr>
          <w:sz w:val="23"/>
          <w:szCs w:val="23"/>
        </w:rPr>
        <w:fldChar w:fldCharType="end"/>
      </w:r>
      <w:r w:rsidRPr="00B16498">
        <w:rPr>
          <w:sz w:val="23"/>
          <w:szCs w:val="23"/>
        </w:rPr>
        <w:t xml:space="preserve">5.2 </w:t>
      </w:r>
      <w:hyperlink w:anchor="_5.2_Volume_and" w:history="1">
        <w:r w:rsidRPr="00B16498">
          <w:rPr>
            <w:rStyle w:val="Hyperlink"/>
            <w:sz w:val="23"/>
            <w:szCs w:val="23"/>
          </w:rPr>
          <w:t>Volume and Turnover Data of Top 10 Clearing Members</w:t>
        </w:r>
      </w:hyperlink>
    </w:p>
    <w:p w:rsidR="002F358F" w:rsidRDefault="002F358F" w:rsidP="002F358F">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jc w:val="both"/>
        <w:rPr>
          <w:rFonts w:ascii="Times New Roman" w:hAnsi="Times New Roman" w:cs="Times New Roman"/>
          <w:color w:val="000000"/>
          <w:sz w:val="23"/>
          <w:szCs w:val="23"/>
        </w:rPr>
      </w:pPr>
      <w:r w:rsidRPr="00B16498">
        <w:rPr>
          <w:rFonts w:ascii="Times New Roman" w:hAnsi="Times New Roman" w:cs="Times New Roman"/>
          <w:color w:val="000000"/>
          <w:sz w:val="23"/>
          <w:szCs w:val="23"/>
        </w:rPr>
        <w:t xml:space="preserve">5.3 </w:t>
      </w:r>
      <w:hyperlink w:anchor="_5.3_Client_Position" w:history="1">
        <w:r w:rsidRPr="00B16498">
          <w:rPr>
            <w:rStyle w:val="Hyperlink"/>
            <w:rFonts w:ascii="Times New Roman" w:hAnsi="Times New Roman" w:cs="Times New Roman"/>
            <w:sz w:val="23"/>
            <w:szCs w:val="23"/>
          </w:rPr>
          <w:t>Client Position Details</w:t>
        </w:r>
      </w:hyperlink>
    </w:p>
    <w:p w:rsidR="002F358F" w:rsidRDefault="002F358F" w:rsidP="002F358F">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jc w:val="both"/>
        <w:rPr>
          <w:rFonts w:ascii="Times New Roman" w:hAnsi="Times New Roman" w:cs="Times New Roman"/>
          <w:color w:val="000000"/>
          <w:sz w:val="23"/>
          <w:szCs w:val="23"/>
        </w:rPr>
      </w:pPr>
      <w:r w:rsidRPr="00B16498">
        <w:rPr>
          <w:rFonts w:ascii="Times New Roman" w:hAnsi="Times New Roman" w:cs="Times New Roman"/>
          <w:color w:val="000000"/>
          <w:sz w:val="23"/>
          <w:szCs w:val="23"/>
        </w:rPr>
        <w:t xml:space="preserve">5.4 </w:t>
      </w:r>
      <w:hyperlink w:anchor="_5.4_Disclosure_of" w:history="1">
        <w:r w:rsidRPr="00B16498">
          <w:rPr>
            <w:rStyle w:val="Hyperlink"/>
            <w:rFonts w:ascii="Times New Roman" w:hAnsi="Times New Roman" w:cs="Times New Roman"/>
            <w:sz w:val="23"/>
            <w:szCs w:val="23"/>
          </w:rPr>
          <w:t>Disclosure of Position of Connected Entities</w:t>
        </w:r>
      </w:hyperlink>
    </w:p>
    <w:p w:rsidR="002F358F" w:rsidRDefault="002F358F" w:rsidP="002F358F">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jc w:val="both"/>
        <w:rPr>
          <w:rFonts w:ascii="Times New Roman" w:hAnsi="Times New Roman" w:cs="Times New Roman"/>
          <w:color w:val="000000"/>
          <w:sz w:val="23"/>
          <w:szCs w:val="23"/>
        </w:rPr>
      </w:pPr>
      <w:r w:rsidRPr="00B16498">
        <w:rPr>
          <w:rFonts w:ascii="Times New Roman" w:hAnsi="Times New Roman" w:cs="Times New Roman"/>
          <w:color w:val="000000"/>
          <w:sz w:val="23"/>
          <w:szCs w:val="23"/>
        </w:rPr>
        <w:t xml:space="preserve">5.5 </w:t>
      </w:r>
      <w:hyperlink w:anchor="_5.5_Market_Wide" w:history="1">
        <w:r w:rsidRPr="00B16498">
          <w:rPr>
            <w:rStyle w:val="Hyperlink"/>
            <w:rFonts w:ascii="Times New Roman" w:hAnsi="Times New Roman" w:cs="Times New Roman"/>
            <w:sz w:val="23"/>
            <w:szCs w:val="23"/>
          </w:rPr>
          <w:t>Market Wide Position Limit</w:t>
        </w:r>
      </w:hyperlink>
    </w:p>
    <w:p w:rsidR="002F358F" w:rsidRPr="00644EFC" w:rsidRDefault="000246FE" w:rsidP="002F358F">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jc w:val="both"/>
        <w:rPr>
          <w:rFonts w:ascii="Times New Roman" w:hAnsi="Times New Roman" w:cs="Times New Roman"/>
          <w:color w:val="000000"/>
          <w:sz w:val="23"/>
          <w:szCs w:val="23"/>
        </w:rPr>
      </w:pPr>
      <w:r>
        <w:rPr>
          <w:rFonts w:ascii="Times New Roman" w:hAnsi="Times New Roman" w:cs="Times New Roman"/>
          <w:color w:val="000000"/>
          <w:sz w:val="23"/>
          <w:szCs w:val="23"/>
        </w:rPr>
        <w:t>5.6</w:t>
      </w:r>
      <w:bookmarkStart w:id="1" w:name="_GoBack"/>
      <w:bookmarkEnd w:id="1"/>
      <w:r w:rsidR="002F358F" w:rsidRPr="00B16498">
        <w:rPr>
          <w:rFonts w:ascii="Times New Roman" w:hAnsi="Times New Roman" w:cs="Times New Roman"/>
          <w:color w:val="000000"/>
          <w:sz w:val="23"/>
          <w:szCs w:val="23"/>
        </w:rPr>
        <w:t xml:space="preserve"> </w:t>
      </w:r>
      <w:hyperlink w:anchor="_5.7_Proprietary_Trade" w:history="1">
        <w:r w:rsidR="002F358F" w:rsidRPr="00B16498">
          <w:rPr>
            <w:rStyle w:val="Hyperlink"/>
            <w:rFonts w:ascii="Times New Roman" w:hAnsi="Times New Roman" w:cs="Times New Roman"/>
            <w:sz w:val="23"/>
            <w:szCs w:val="23"/>
          </w:rPr>
          <w:t>Proprietary Trade Positions-Derivatives Segment</w:t>
        </w:r>
      </w:hyperlink>
    </w:p>
    <w:p w:rsidR="00C072A0" w:rsidRPr="00644EFC" w:rsidRDefault="00C072A0" w:rsidP="00DE28E3">
      <w:pPr>
        <w:jc w:val="both"/>
        <w:rPr>
          <w:rFonts w:ascii="Times New Roman" w:hAnsi="Times New Roman" w:cs="Times New Roman"/>
          <w:sz w:val="23"/>
          <w:szCs w:val="23"/>
        </w:rPr>
      </w:pPr>
    </w:p>
    <w:p w:rsidR="00C072A0" w:rsidRPr="00644EFC" w:rsidRDefault="00C072A0" w:rsidP="00DE28E3">
      <w:pPr>
        <w:jc w:val="both"/>
        <w:rPr>
          <w:rFonts w:ascii="Times New Roman" w:hAnsi="Times New Roman" w:cs="Times New Roman"/>
          <w:sz w:val="23"/>
          <w:szCs w:val="23"/>
        </w:rPr>
      </w:pPr>
    </w:p>
    <w:p w:rsidR="00C072A0" w:rsidRPr="006B6694" w:rsidRDefault="00573B40" w:rsidP="006B6694">
      <w:pPr>
        <w:pStyle w:val="Default"/>
        <w:spacing w:line="276" w:lineRule="auto"/>
        <w:jc w:val="right"/>
        <w:rPr>
          <w:color w:val="FF0000"/>
          <w:sz w:val="16"/>
          <w:szCs w:val="16"/>
          <w:u w:val="single"/>
        </w:rPr>
      </w:pPr>
      <w:hyperlink w:anchor="_top" w:history="1">
        <w:r w:rsidR="00F25068" w:rsidRPr="00644EFC">
          <w:rPr>
            <w:rStyle w:val="Hyperlink"/>
            <w:color w:val="FF0000"/>
            <w:sz w:val="16"/>
            <w:szCs w:val="16"/>
          </w:rPr>
          <w:t>Go Top</w:t>
        </w:r>
      </w:hyperlink>
    </w:p>
    <w:p w:rsidR="0096538E" w:rsidRPr="00644EFC" w:rsidRDefault="0067645B" w:rsidP="00DE28E3">
      <w:pPr>
        <w:pStyle w:val="Default"/>
        <w:spacing w:line="276" w:lineRule="auto"/>
        <w:jc w:val="both"/>
        <w:rPr>
          <w:b/>
          <w:bCs/>
          <w:color w:val="auto"/>
          <w:sz w:val="28"/>
          <w:szCs w:val="28"/>
        </w:rPr>
      </w:pPr>
      <w:r w:rsidRPr="00644EFC">
        <w:rPr>
          <w:b/>
          <w:bCs/>
          <w:color w:val="auto"/>
          <w:sz w:val="28"/>
          <w:szCs w:val="28"/>
        </w:rPr>
        <w:t xml:space="preserve">POSITION LIMITS </w:t>
      </w:r>
      <w:r w:rsidR="00D23216" w:rsidRPr="00644EFC">
        <w:rPr>
          <w:b/>
          <w:bCs/>
          <w:color w:val="auto"/>
          <w:sz w:val="28"/>
          <w:szCs w:val="28"/>
        </w:rPr>
        <w:t xml:space="preserve"> </w:t>
      </w:r>
    </w:p>
    <w:p w:rsidR="00AD7B9B" w:rsidRPr="0062220B" w:rsidRDefault="00AD7B9B" w:rsidP="00DE28E3">
      <w:pPr>
        <w:pStyle w:val="Heading1"/>
        <w:numPr>
          <w:ilvl w:val="1"/>
          <w:numId w:val="10"/>
        </w:numPr>
        <w:ind w:left="426" w:hanging="426"/>
        <w:jc w:val="both"/>
        <w:rPr>
          <w:rFonts w:ascii="Times New Roman" w:hAnsi="Times New Roman" w:cs="Times New Roman"/>
          <w:b w:val="0"/>
          <w:color w:val="auto"/>
          <w:sz w:val="24"/>
          <w:szCs w:val="24"/>
        </w:rPr>
      </w:pPr>
      <w:bookmarkStart w:id="2" w:name="_Market_Wide_Position"/>
      <w:bookmarkEnd w:id="2"/>
      <w:r w:rsidRPr="0062220B">
        <w:rPr>
          <w:rStyle w:val="Heading2Char"/>
          <w:rFonts w:ascii="Times New Roman" w:hAnsi="Times New Roman" w:cs="Times New Roman"/>
          <w:b/>
          <w:color w:val="auto"/>
          <w:sz w:val="24"/>
          <w:szCs w:val="24"/>
        </w:rPr>
        <w:t>Market Wide Position Limits for derivative contracts on underlying stocks</w:t>
      </w:r>
      <w:r w:rsidRPr="0062220B">
        <w:rPr>
          <w:rFonts w:ascii="Times New Roman" w:hAnsi="Times New Roman" w:cs="Times New Roman"/>
          <w:b w:val="0"/>
          <w:color w:val="auto"/>
          <w:sz w:val="24"/>
          <w:szCs w:val="24"/>
        </w:rPr>
        <w:t xml:space="preserve">  </w:t>
      </w:r>
      <w:r w:rsidRPr="0062220B">
        <w:rPr>
          <w:rFonts w:ascii="Times New Roman" w:hAnsi="Times New Roman" w:cs="Times New Roman"/>
          <w:b w:val="0"/>
          <w:color w:val="auto"/>
          <w:sz w:val="24"/>
          <w:szCs w:val="24"/>
        </w:rPr>
        <w:tab/>
      </w:r>
      <w:r w:rsidRPr="0062220B">
        <w:rPr>
          <w:rFonts w:ascii="Times New Roman" w:hAnsi="Times New Roman" w:cs="Times New Roman"/>
          <w:b w:val="0"/>
          <w:color w:val="auto"/>
          <w:sz w:val="24"/>
          <w:szCs w:val="24"/>
        </w:rPr>
        <w:tab/>
      </w:r>
      <w:r w:rsidRPr="0062220B">
        <w:rPr>
          <w:rFonts w:ascii="Times New Roman" w:hAnsi="Times New Roman" w:cs="Times New Roman"/>
          <w:b w:val="0"/>
          <w:color w:val="auto"/>
          <w:sz w:val="24"/>
          <w:szCs w:val="24"/>
        </w:rPr>
        <w:tab/>
      </w:r>
      <w:r w:rsidRPr="0062220B">
        <w:rPr>
          <w:rFonts w:ascii="Times New Roman" w:eastAsiaTheme="minorHAnsi" w:hAnsi="Times New Roman" w:cs="Times New Roman"/>
          <w:b w:val="0"/>
          <w:color w:val="auto"/>
          <w:sz w:val="24"/>
          <w:szCs w:val="24"/>
        </w:rPr>
        <w:t xml:space="preserve">   </w:t>
      </w:r>
    </w:p>
    <w:p w:rsidR="00AD7B9B" w:rsidRPr="0062220B" w:rsidRDefault="00AD7B9B" w:rsidP="00DE28E3">
      <w:pPr>
        <w:pStyle w:val="Default"/>
        <w:spacing w:line="276" w:lineRule="auto"/>
        <w:ind w:left="851"/>
        <w:jc w:val="both"/>
        <w:rPr>
          <w:color w:val="auto"/>
          <w:sz w:val="22"/>
          <w:szCs w:val="22"/>
        </w:rPr>
      </w:pPr>
      <w:r w:rsidRPr="0062220B">
        <w:rPr>
          <w:color w:val="auto"/>
          <w:sz w:val="22"/>
          <w:szCs w:val="22"/>
        </w:rPr>
        <w:t xml:space="preserve">Market Wide Position Limits for futures and options contracts on individual securities shall be 20% of the number of shares held by non-promoters in the relevant underlying security i.e. 20% of the free float in terms of the number of shares of a company. </w:t>
      </w:r>
    </w:p>
    <w:p w:rsidR="00AD7B9B" w:rsidRPr="0062220B" w:rsidRDefault="00AD7B9B" w:rsidP="00DE28E3">
      <w:pPr>
        <w:pStyle w:val="Default"/>
        <w:spacing w:line="276" w:lineRule="auto"/>
        <w:ind w:left="851"/>
        <w:jc w:val="both"/>
        <w:rPr>
          <w:color w:val="auto"/>
          <w:sz w:val="22"/>
          <w:szCs w:val="22"/>
        </w:rPr>
      </w:pPr>
      <w:r w:rsidRPr="0062220B">
        <w:rPr>
          <w:color w:val="auto"/>
          <w:sz w:val="22"/>
          <w:szCs w:val="22"/>
        </w:rPr>
        <w:t xml:space="preserve">The Exchange shall specify the market wide position limits on the last trading day of the month which shall be reckoned for this purpose during the next month. </w:t>
      </w:r>
    </w:p>
    <w:p w:rsidR="00A06ABC" w:rsidRPr="0062220B" w:rsidRDefault="00A06ABC" w:rsidP="00DE28E3">
      <w:pPr>
        <w:pStyle w:val="Default"/>
        <w:spacing w:line="276" w:lineRule="auto"/>
        <w:ind w:left="851"/>
        <w:jc w:val="both"/>
        <w:rPr>
          <w:color w:val="auto"/>
          <w:sz w:val="22"/>
          <w:szCs w:val="22"/>
        </w:rPr>
      </w:pPr>
    </w:p>
    <w:p w:rsidR="00A06ABC" w:rsidRPr="0062220B" w:rsidRDefault="00A06ABC" w:rsidP="00DE28E3">
      <w:pPr>
        <w:pStyle w:val="Default"/>
        <w:spacing w:line="276" w:lineRule="auto"/>
        <w:ind w:left="851"/>
        <w:jc w:val="both"/>
        <w:rPr>
          <w:color w:val="auto"/>
          <w:sz w:val="22"/>
          <w:szCs w:val="22"/>
        </w:rPr>
      </w:pPr>
      <w:r w:rsidRPr="0062220B">
        <w:rPr>
          <w:color w:val="auto"/>
          <w:sz w:val="22"/>
          <w:szCs w:val="22"/>
        </w:rPr>
        <w:t>There is no Market Wide Position Limits specified for Index Futures and Index Option Contracts</w:t>
      </w:r>
    </w:p>
    <w:p w:rsidR="0096538E" w:rsidRPr="0062220B" w:rsidRDefault="0096538E" w:rsidP="00DE28E3">
      <w:pPr>
        <w:pStyle w:val="Heading2"/>
        <w:jc w:val="both"/>
        <w:rPr>
          <w:rFonts w:ascii="Times New Roman" w:hAnsi="Times New Roman" w:cs="Times New Roman"/>
          <w:color w:val="auto"/>
          <w:sz w:val="24"/>
          <w:szCs w:val="24"/>
        </w:rPr>
      </w:pPr>
      <w:bookmarkStart w:id="3" w:name="_1.5_Market_Wide"/>
      <w:bookmarkStart w:id="4" w:name="_1.2_Market_Wide"/>
      <w:bookmarkEnd w:id="3"/>
      <w:bookmarkEnd w:id="4"/>
      <w:r w:rsidRPr="0062220B">
        <w:rPr>
          <w:rFonts w:ascii="Times New Roman" w:hAnsi="Times New Roman" w:cs="Times New Roman"/>
          <w:color w:val="auto"/>
          <w:sz w:val="24"/>
          <w:szCs w:val="24"/>
        </w:rPr>
        <w:t>1</w:t>
      </w:r>
      <w:r w:rsidR="0080569D" w:rsidRPr="0062220B">
        <w:rPr>
          <w:rFonts w:ascii="Times New Roman" w:hAnsi="Times New Roman" w:cs="Times New Roman"/>
          <w:color w:val="auto"/>
          <w:sz w:val="24"/>
          <w:szCs w:val="24"/>
        </w:rPr>
        <w:t>.</w:t>
      </w:r>
      <w:r w:rsidR="00AB200A" w:rsidRPr="0062220B">
        <w:rPr>
          <w:rFonts w:ascii="Times New Roman" w:hAnsi="Times New Roman" w:cs="Times New Roman"/>
          <w:color w:val="auto"/>
          <w:sz w:val="24"/>
          <w:szCs w:val="24"/>
        </w:rPr>
        <w:t>2</w:t>
      </w:r>
      <w:r w:rsidRPr="0062220B">
        <w:rPr>
          <w:rFonts w:ascii="Times New Roman" w:hAnsi="Times New Roman" w:cs="Times New Roman"/>
          <w:color w:val="auto"/>
          <w:sz w:val="24"/>
          <w:szCs w:val="24"/>
        </w:rPr>
        <w:t xml:space="preserve"> </w:t>
      </w:r>
      <w:r w:rsidRPr="0062220B">
        <w:rPr>
          <w:rStyle w:val="Heading1Char"/>
          <w:rFonts w:ascii="Times New Roman" w:hAnsi="Times New Roman" w:cs="Times New Roman"/>
          <w:b/>
          <w:color w:val="auto"/>
          <w:sz w:val="24"/>
          <w:szCs w:val="24"/>
        </w:rPr>
        <w:t>Market Wide Position Limit across Stock Exchanges</w:t>
      </w:r>
      <w:r w:rsidRPr="0062220B">
        <w:rPr>
          <w:rFonts w:ascii="Times New Roman" w:hAnsi="Times New Roman" w:cs="Times New Roman"/>
          <w:color w:val="auto"/>
          <w:sz w:val="24"/>
          <w:szCs w:val="24"/>
        </w:rPr>
        <w:t xml:space="preserve"> </w:t>
      </w:r>
    </w:p>
    <w:p w:rsidR="0096538E" w:rsidRPr="0062220B" w:rsidRDefault="0096538E" w:rsidP="00DE28E3">
      <w:pPr>
        <w:pStyle w:val="Default"/>
        <w:spacing w:line="276" w:lineRule="auto"/>
        <w:ind w:left="426"/>
        <w:jc w:val="both"/>
        <w:rPr>
          <w:color w:val="auto"/>
          <w:sz w:val="22"/>
          <w:szCs w:val="22"/>
        </w:rPr>
      </w:pPr>
      <w:r w:rsidRPr="0062220B">
        <w:rPr>
          <w:color w:val="auto"/>
          <w:sz w:val="22"/>
          <w:szCs w:val="22"/>
        </w:rPr>
        <w:t>Exchange shall disseminate Market Wide Position Limit (MWPL) and open interest of the security at B</w:t>
      </w:r>
      <w:r w:rsidR="00F41982" w:rsidRPr="0062220B">
        <w:rPr>
          <w:color w:val="auto"/>
          <w:sz w:val="22"/>
          <w:szCs w:val="22"/>
        </w:rPr>
        <w:t xml:space="preserve">SE </w:t>
      </w:r>
      <w:r w:rsidRPr="0062220B">
        <w:rPr>
          <w:color w:val="auto"/>
          <w:sz w:val="22"/>
          <w:szCs w:val="22"/>
        </w:rPr>
        <w:t xml:space="preserve">in respect of all securities on a daily basis latest by 6:30 pm as per the format specified below. </w:t>
      </w:r>
    </w:p>
    <w:p w:rsidR="0096538E" w:rsidRPr="0062220B" w:rsidRDefault="0096538E" w:rsidP="00DE28E3">
      <w:pPr>
        <w:pStyle w:val="Default"/>
        <w:numPr>
          <w:ilvl w:val="0"/>
          <w:numId w:val="32"/>
        </w:numPr>
        <w:spacing w:after="27" w:line="276" w:lineRule="auto"/>
        <w:jc w:val="both"/>
        <w:rPr>
          <w:color w:val="auto"/>
          <w:sz w:val="22"/>
          <w:szCs w:val="22"/>
        </w:rPr>
      </w:pPr>
      <w:r w:rsidRPr="0062220B">
        <w:rPr>
          <w:color w:val="auto"/>
          <w:sz w:val="22"/>
          <w:szCs w:val="22"/>
        </w:rPr>
        <w:t xml:space="preserve">ISIN of the security </w:t>
      </w:r>
    </w:p>
    <w:p w:rsidR="0096538E" w:rsidRPr="0062220B" w:rsidRDefault="0096538E" w:rsidP="00DE28E3">
      <w:pPr>
        <w:pStyle w:val="Default"/>
        <w:numPr>
          <w:ilvl w:val="0"/>
          <w:numId w:val="32"/>
        </w:numPr>
        <w:spacing w:after="27" w:line="276" w:lineRule="auto"/>
        <w:jc w:val="both"/>
        <w:rPr>
          <w:color w:val="auto"/>
          <w:sz w:val="22"/>
          <w:szCs w:val="22"/>
        </w:rPr>
      </w:pPr>
      <w:r w:rsidRPr="0062220B">
        <w:rPr>
          <w:color w:val="auto"/>
          <w:sz w:val="22"/>
          <w:szCs w:val="22"/>
        </w:rPr>
        <w:t xml:space="preserve">Name of the security </w:t>
      </w:r>
    </w:p>
    <w:p w:rsidR="0096538E" w:rsidRPr="0062220B" w:rsidRDefault="0096538E" w:rsidP="00DE28E3">
      <w:pPr>
        <w:pStyle w:val="Default"/>
        <w:numPr>
          <w:ilvl w:val="0"/>
          <w:numId w:val="32"/>
        </w:numPr>
        <w:spacing w:after="27" w:line="276" w:lineRule="auto"/>
        <w:jc w:val="both"/>
        <w:rPr>
          <w:color w:val="auto"/>
          <w:sz w:val="22"/>
          <w:szCs w:val="22"/>
        </w:rPr>
      </w:pPr>
      <w:r w:rsidRPr="0062220B">
        <w:rPr>
          <w:color w:val="auto"/>
          <w:sz w:val="22"/>
          <w:szCs w:val="22"/>
        </w:rPr>
        <w:t xml:space="preserve">Symbol of the Security </w:t>
      </w:r>
    </w:p>
    <w:p w:rsidR="0096538E" w:rsidRPr="0062220B" w:rsidRDefault="0096538E" w:rsidP="00DE28E3">
      <w:pPr>
        <w:pStyle w:val="Default"/>
        <w:numPr>
          <w:ilvl w:val="0"/>
          <w:numId w:val="32"/>
        </w:numPr>
        <w:spacing w:after="27" w:line="276" w:lineRule="auto"/>
        <w:jc w:val="both"/>
        <w:rPr>
          <w:color w:val="auto"/>
          <w:sz w:val="22"/>
          <w:szCs w:val="22"/>
        </w:rPr>
      </w:pPr>
      <w:r w:rsidRPr="0062220B">
        <w:rPr>
          <w:color w:val="auto"/>
          <w:sz w:val="22"/>
          <w:szCs w:val="22"/>
        </w:rPr>
        <w:t xml:space="preserve">Applicable MWPL limit (in terms of number of shares) of the security </w:t>
      </w:r>
    </w:p>
    <w:p w:rsidR="0096538E" w:rsidRPr="0062220B" w:rsidRDefault="0096538E" w:rsidP="00DE28E3">
      <w:pPr>
        <w:pStyle w:val="Default"/>
        <w:numPr>
          <w:ilvl w:val="0"/>
          <w:numId w:val="32"/>
        </w:numPr>
        <w:spacing w:line="276" w:lineRule="auto"/>
        <w:jc w:val="both"/>
        <w:rPr>
          <w:color w:val="auto"/>
          <w:sz w:val="22"/>
          <w:szCs w:val="22"/>
        </w:rPr>
      </w:pPr>
      <w:r w:rsidRPr="0062220B">
        <w:rPr>
          <w:color w:val="auto"/>
          <w:sz w:val="22"/>
          <w:szCs w:val="22"/>
        </w:rPr>
        <w:t xml:space="preserve">Current day Open Interest (in terms of number of shares) of the security. </w:t>
      </w:r>
    </w:p>
    <w:p w:rsidR="0096538E" w:rsidRPr="0062220B" w:rsidRDefault="0096538E" w:rsidP="00DE28E3">
      <w:pPr>
        <w:pStyle w:val="Default"/>
        <w:spacing w:line="276" w:lineRule="auto"/>
        <w:ind w:left="426"/>
        <w:jc w:val="both"/>
        <w:rPr>
          <w:color w:val="auto"/>
          <w:sz w:val="22"/>
          <w:szCs w:val="22"/>
        </w:rPr>
      </w:pPr>
      <w:r w:rsidRPr="0062220B">
        <w:rPr>
          <w:color w:val="auto"/>
          <w:sz w:val="22"/>
          <w:szCs w:val="22"/>
        </w:rPr>
        <w:t xml:space="preserve">Further, aggregate open interest in each security across Exchanges shall be disseminated as per the format specified below on daily basis latest by 7:00 pm. </w:t>
      </w:r>
    </w:p>
    <w:p w:rsidR="0096538E" w:rsidRPr="0062220B" w:rsidRDefault="0096538E" w:rsidP="00DE28E3">
      <w:pPr>
        <w:pStyle w:val="Default"/>
        <w:numPr>
          <w:ilvl w:val="0"/>
          <w:numId w:val="34"/>
        </w:numPr>
        <w:spacing w:after="27" w:line="276" w:lineRule="auto"/>
        <w:jc w:val="both"/>
        <w:rPr>
          <w:color w:val="auto"/>
          <w:sz w:val="22"/>
          <w:szCs w:val="22"/>
        </w:rPr>
      </w:pPr>
      <w:r w:rsidRPr="0062220B">
        <w:rPr>
          <w:color w:val="auto"/>
          <w:sz w:val="22"/>
          <w:szCs w:val="22"/>
        </w:rPr>
        <w:t xml:space="preserve">ISIN of the security </w:t>
      </w:r>
    </w:p>
    <w:p w:rsidR="0096538E" w:rsidRPr="0062220B" w:rsidRDefault="0096538E" w:rsidP="00DE28E3">
      <w:pPr>
        <w:pStyle w:val="Default"/>
        <w:numPr>
          <w:ilvl w:val="0"/>
          <w:numId w:val="34"/>
        </w:numPr>
        <w:spacing w:after="27" w:line="276" w:lineRule="auto"/>
        <w:jc w:val="both"/>
        <w:rPr>
          <w:color w:val="auto"/>
          <w:sz w:val="22"/>
          <w:szCs w:val="22"/>
        </w:rPr>
      </w:pPr>
      <w:r w:rsidRPr="0062220B">
        <w:rPr>
          <w:color w:val="auto"/>
          <w:sz w:val="22"/>
          <w:szCs w:val="22"/>
        </w:rPr>
        <w:t xml:space="preserve">Name of the security </w:t>
      </w:r>
    </w:p>
    <w:p w:rsidR="0096538E" w:rsidRPr="0062220B" w:rsidRDefault="0096538E" w:rsidP="00DE28E3">
      <w:pPr>
        <w:pStyle w:val="Default"/>
        <w:numPr>
          <w:ilvl w:val="0"/>
          <w:numId w:val="34"/>
        </w:numPr>
        <w:spacing w:after="27" w:line="276" w:lineRule="auto"/>
        <w:jc w:val="both"/>
        <w:rPr>
          <w:color w:val="auto"/>
          <w:sz w:val="22"/>
          <w:szCs w:val="22"/>
        </w:rPr>
      </w:pPr>
      <w:r w:rsidRPr="0062220B">
        <w:rPr>
          <w:color w:val="auto"/>
          <w:sz w:val="22"/>
          <w:szCs w:val="22"/>
        </w:rPr>
        <w:t xml:space="preserve">Symbol of the security </w:t>
      </w:r>
    </w:p>
    <w:p w:rsidR="0096538E" w:rsidRPr="0062220B" w:rsidRDefault="0096538E" w:rsidP="00DE28E3">
      <w:pPr>
        <w:pStyle w:val="Default"/>
        <w:numPr>
          <w:ilvl w:val="0"/>
          <w:numId w:val="34"/>
        </w:numPr>
        <w:spacing w:after="27" w:line="276" w:lineRule="auto"/>
        <w:jc w:val="both"/>
        <w:rPr>
          <w:color w:val="auto"/>
          <w:sz w:val="22"/>
          <w:szCs w:val="22"/>
        </w:rPr>
      </w:pPr>
      <w:r w:rsidRPr="0062220B">
        <w:rPr>
          <w:color w:val="auto"/>
          <w:sz w:val="22"/>
          <w:szCs w:val="22"/>
        </w:rPr>
        <w:t xml:space="preserve">MWPL (in terms of number of shares) of the security </w:t>
      </w:r>
    </w:p>
    <w:p w:rsidR="0096538E" w:rsidRPr="0062220B" w:rsidRDefault="0096538E" w:rsidP="00DE28E3">
      <w:pPr>
        <w:pStyle w:val="Default"/>
        <w:numPr>
          <w:ilvl w:val="0"/>
          <w:numId w:val="34"/>
        </w:numPr>
        <w:spacing w:after="27" w:line="276" w:lineRule="auto"/>
        <w:jc w:val="both"/>
        <w:rPr>
          <w:color w:val="auto"/>
          <w:sz w:val="22"/>
          <w:szCs w:val="22"/>
        </w:rPr>
      </w:pPr>
      <w:r w:rsidRPr="0062220B">
        <w:rPr>
          <w:color w:val="auto"/>
          <w:sz w:val="22"/>
          <w:szCs w:val="22"/>
        </w:rPr>
        <w:t xml:space="preserve">Current day Open Interest (in terms of number of shares ) of the security </w:t>
      </w:r>
    </w:p>
    <w:p w:rsidR="0096538E" w:rsidRPr="0062220B" w:rsidRDefault="0096538E" w:rsidP="00DE28E3">
      <w:pPr>
        <w:pStyle w:val="Default"/>
        <w:numPr>
          <w:ilvl w:val="0"/>
          <w:numId w:val="34"/>
        </w:numPr>
        <w:spacing w:line="276" w:lineRule="auto"/>
        <w:jc w:val="both"/>
        <w:rPr>
          <w:color w:val="auto"/>
          <w:sz w:val="22"/>
          <w:szCs w:val="22"/>
        </w:rPr>
      </w:pPr>
      <w:r w:rsidRPr="0062220B">
        <w:rPr>
          <w:color w:val="auto"/>
          <w:sz w:val="22"/>
          <w:szCs w:val="22"/>
        </w:rPr>
        <w:t xml:space="preserve">Permissible limits for next day (in terms of number of shares) of the security </w:t>
      </w:r>
    </w:p>
    <w:p w:rsidR="0096538E" w:rsidRPr="00644EFC" w:rsidRDefault="0096538E" w:rsidP="00DE28E3">
      <w:pPr>
        <w:pStyle w:val="Default"/>
        <w:spacing w:line="276" w:lineRule="auto"/>
        <w:ind w:left="426"/>
        <w:jc w:val="both"/>
        <w:rPr>
          <w:color w:val="auto"/>
        </w:rPr>
      </w:pPr>
    </w:p>
    <w:p w:rsidR="0096538E" w:rsidRPr="0062220B" w:rsidRDefault="0096538E" w:rsidP="00DE28E3">
      <w:pPr>
        <w:pStyle w:val="Default"/>
        <w:spacing w:line="276" w:lineRule="auto"/>
        <w:ind w:left="426"/>
        <w:jc w:val="both"/>
        <w:rPr>
          <w:color w:val="auto"/>
          <w:sz w:val="22"/>
          <w:szCs w:val="22"/>
        </w:rPr>
      </w:pPr>
      <w:r w:rsidRPr="0062220B">
        <w:rPr>
          <w:color w:val="auto"/>
          <w:sz w:val="22"/>
          <w:szCs w:val="22"/>
        </w:rPr>
        <w:t xml:space="preserve">The aggregate open interest of the security across Exchanges shall be considered for purpose of monitoring of MWPL. If the aggregate open interest of the security across Exchanges exceeds 95 per cent of the MWPL, no fresh positions shall be permitted for the said security from the subsequent trading day. The normal trading in the security shall be resumed only after the aggregate open outstanding position across Exchanges comes down to 80% or below of the MWPL. </w:t>
      </w:r>
    </w:p>
    <w:p w:rsidR="006A64FD" w:rsidRPr="0062220B" w:rsidRDefault="006A64FD" w:rsidP="00DE28E3">
      <w:pPr>
        <w:pStyle w:val="Default"/>
        <w:spacing w:line="276" w:lineRule="auto"/>
        <w:ind w:left="426"/>
        <w:jc w:val="both"/>
        <w:rPr>
          <w:color w:val="auto"/>
          <w:sz w:val="22"/>
          <w:szCs w:val="22"/>
        </w:rPr>
      </w:pPr>
      <w:r w:rsidRPr="0062220B">
        <w:rPr>
          <w:color w:val="auto"/>
          <w:sz w:val="22"/>
          <w:szCs w:val="22"/>
        </w:rPr>
        <w:t xml:space="preserve">The link for the same is </w:t>
      </w:r>
      <w:hyperlink r:id="rId8" w:history="1">
        <w:r w:rsidRPr="0062220B">
          <w:rPr>
            <w:rStyle w:val="Hyperlink"/>
            <w:sz w:val="22"/>
            <w:szCs w:val="22"/>
          </w:rPr>
          <w:t>Market Wide Position Limits</w:t>
        </w:r>
      </w:hyperlink>
    </w:p>
    <w:p w:rsidR="0080569D" w:rsidRPr="0062220B" w:rsidRDefault="0080569D" w:rsidP="00DE28E3">
      <w:pPr>
        <w:pStyle w:val="Default"/>
        <w:spacing w:line="276" w:lineRule="auto"/>
        <w:ind w:left="426"/>
        <w:jc w:val="both"/>
        <w:rPr>
          <w:color w:val="auto"/>
          <w:sz w:val="22"/>
          <w:szCs w:val="22"/>
        </w:rPr>
      </w:pPr>
    </w:p>
    <w:p w:rsidR="00D23216" w:rsidRDefault="0096538E" w:rsidP="0062220B">
      <w:pPr>
        <w:pStyle w:val="Default"/>
        <w:spacing w:line="276" w:lineRule="auto"/>
        <w:ind w:left="426"/>
        <w:jc w:val="both"/>
        <w:rPr>
          <w:rStyle w:val="Hyperlink"/>
          <w:sz w:val="22"/>
          <w:szCs w:val="22"/>
        </w:rPr>
      </w:pPr>
      <w:r w:rsidRPr="0062220B">
        <w:rPr>
          <w:color w:val="auto"/>
          <w:sz w:val="22"/>
          <w:szCs w:val="22"/>
        </w:rPr>
        <w:t xml:space="preserve">Violation of such limits shall attract action as specified in </w:t>
      </w:r>
      <w:r w:rsidR="00D91FAF" w:rsidRPr="0062220B">
        <w:rPr>
          <w:b/>
          <w:bCs/>
          <w:color w:val="auto"/>
          <w:sz w:val="22"/>
          <w:szCs w:val="22"/>
        </w:rPr>
        <w:t xml:space="preserve"> </w:t>
      </w:r>
      <w:r w:rsidR="00634AC4" w:rsidRPr="0062220B">
        <w:rPr>
          <w:color w:val="auto"/>
          <w:sz w:val="22"/>
          <w:szCs w:val="22"/>
        </w:rPr>
        <w:t xml:space="preserve"> </w:t>
      </w:r>
      <w:hyperlink w:anchor="_1.3_Position_Limits" w:history="1">
        <w:r w:rsidR="00634AC4" w:rsidRPr="0062220B">
          <w:rPr>
            <w:rStyle w:val="Hyperlink"/>
            <w:sz w:val="22"/>
            <w:szCs w:val="22"/>
          </w:rPr>
          <w:t>Point 1.7</w:t>
        </w:r>
      </w:hyperlink>
    </w:p>
    <w:p w:rsidR="00F25068" w:rsidRDefault="00F25068" w:rsidP="0062220B">
      <w:pPr>
        <w:pStyle w:val="Default"/>
        <w:spacing w:line="276" w:lineRule="auto"/>
        <w:ind w:left="426"/>
        <w:jc w:val="both"/>
        <w:rPr>
          <w:rStyle w:val="Hyperlink"/>
          <w:sz w:val="22"/>
          <w:szCs w:val="22"/>
        </w:rPr>
      </w:pPr>
    </w:p>
    <w:p w:rsidR="00F25068" w:rsidRDefault="00F25068" w:rsidP="0062220B">
      <w:pPr>
        <w:pStyle w:val="Default"/>
        <w:spacing w:line="276" w:lineRule="auto"/>
        <w:ind w:left="426"/>
        <w:jc w:val="both"/>
        <w:rPr>
          <w:rStyle w:val="Hyperlink"/>
          <w:sz w:val="22"/>
          <w:szCs w:val="22"/>
        </w:rPr>
      </w:pPr>
    </w:p>
    <w:p w:rsidR="00F25068" w:rsidRPr="00F25068" w:rsidRDefault="00573B40" w:rsidP="00F25068">
      <w:pPr>
        <w:pStyle w:val="Default"/>
        <w:spacing w:line="276" w:lineRule="auto"/>
        <w:jc w:val="right"/>
        <w:rPr>
          <w:color w:val="FF0000"/>
          <w:sz w:val="16"/>
          <w:szCs w:val="16"/>
          <w:u w:val="single"/>
        </w:rPr>
      </w:pPr>
      <w:hyperlink w:anchor="_top" w:history="1">
        <w:r w:rsidR="00F25068" w:rsidRPr="00644EFC">
          <w:rPr>
            <w:rStyle w:val="Hyperlink"/>
            <w:color w:val="FF0000"/>
            <w:sz w:val="16"/>
            <w:szCs w:val="16"/>
          </w:rPr>
          <w:t>Go Top</w:t>
        </w:r>
      </w:hyperlink>
    </w:p>
    <w:p w:rsidR="000D28AB" w:rsidRPr="0062220B" w:rsidRDefault="000D28AB" w:rsidP="00DE28E3">
      <w:pPr>
        <w:pStyle w:val="Heading1"/>
        <w:numPr>
          <w:ilvl w:val="1"/>
          <w:numId w:val="11"/>
        </w:numPr>
        <w:ind w:left="284" w:hanging="284"/>
        <w:rPr>
          <w:rFonts w:ascii="Times New Roman" w:hAnsi="Times New Roman" w:cs="Times New Roman"/>
          <w:b w:val="0"/>
          <w:bCs w:val="0"/>
          <w:color w:val="auto"/>
          <w:sz w:val="24"/>
          <w:szCs w:val="24"/>
        </w:rPr>
      </w:pPr>
      <w:bookmarkStart w:id="5" w:name="_Trading_Member_wise"/>
      <w:bookmarkEnd w:id="5"/>
      <w:r w:rsidRPr="0062220B">
        <w:rPr>
          <w:rStyle w:val="Heading2Char"/>
          <w:rFonts w:ascii="Times New Roman" w:hAnsi="Times New Roman" w:cs="Times New Roman"/>
          <w:b/>
          <w:color w:val="auto"/>
          <w:sz w:val="24"/>
          <w:szCs w:val="24"/>
        </w:rPr>
        <w:lastRenderedPageBreak/>
        <w:t xml:space="preserve">Trading Member wise Position Limit </w:t>
      </w:r>
      <w:r w:rsidR="0080569D" w:rsidRPr="0062220B">
        <w:rPr>
          <w:rStyle w:val="Heading2Char"/>
          <w:rFonts w:ascii="Times New Roman" w:hAnsi="Times New Roman" w:cs="Times New Roman"/>
          <w:b/>
          <w:color w:val="auto"/>
          <w:sz w:val="24"/>
          <w:szCs w:val="24"/>
        </w:rPr>
        <w:tab/>
      </w:r>
      <w:r w:rsidR="0080569D" w:rsidRPr="0062220B">
        <w:rPr>
          <w:rStyle w:val="Heading2Char"/>
          <w:rFonts w:ascii="Times New Roman" w:hAnsi="Times New Roman" w:cs="Times New Roman"/>
          <w:b/>
          <w:color w:val="auto"/>
          <w:sz w:val="24"/>
          <w:szCs w:val="24"/>
        </w:rPr>
        <w:tab/>
      </w:r>
      <w:r w:rsidR="0080569D" w:rsidRPr="0062220B">
        <w:rPr>
          <w:rStyle w:val="Heading2Char"/>
          <w:rFonts w:ascii="Times New Roman" w:hAnsi="Times New Roman" w:cs="Times New Roman"/>
          <w:b/>
          <w:color w:val="auto"/>
          <w:sz w:val="24"/>
          <w:szCs w:val="24"/>
        </w:rPr>
        <w:tab/>
      </w:r>
      <w:r w:rsidR="0080569D" w:rsidRPr="0062220B">
        <w:rPr>
          <w:rStyle w:val="Heading2Char"/>
          <w:rFonts w:ascii="Times New Roman" w:hAnsi="Times New Roman" w:cs="Times New Roman"/>
          <w:b/>
          <w:color w:val="auto"/>
          <w:sz w:val="24"/>
          <w:szCs w:val="24"/>
        </w:rPr>
        <w:tab/>
      </w:r>
      <w:r w:rsidR="0080569D" w:rsidRPr="0062220B">
        <w:rPr>
          <w:rStyle w:val="Heading2Char"/>
          <w:rFonts w:ascii="Times New Roman" w:hAnsi="Times New Roman" w:cs="Times New Roman"/>
          <w:b/>
          <w:color w:val="auto"/>
          <w:sz w:val="24"/>
          <w:szCs w:val="24"/>
        </w:rPr>
        <w:tab/>
        <w:t xml:space="preserve">                                                                       </w:t>
      </w:r>
    </w:p>
    <w:p w:rsidR="000D28AB" w:rsidRPr="0062220B" w:rsidRDefault="000D28AB" w:rsidP="00DE28E3">
      <w:pPr>
        <w:pStyle w:val="Heading1"/>
        <w:jc w:val="both"/>
        <w:rPr>
          <w:rFonts w:ascii="Times New Roman" w:hAnsi="Times New Roman" w:cs="Times New Roman"/>
          <w:color w:val="auto"/>
          <w:sz w:val="24"/>
          <w:szCs w:val="24"/>
        </w:rPr>
      </w:pPr>
      <w:r w:rsidRPr="0062220B">
        <w:rPr>
          <w:rFonts w:ascii="Times New Roman" w:hAnsi="Times New Roman" w:cs="Times New Roman"/>
          <w:color w:val="auto"/>
          <w:sz w:val="24"/>
          <w:szCs w:val="24"/>
        </w:rPr>
        <w:t>1.</w:t>
      </w:r>
      <w:r w:rsidR="00AB200A" w:rsidRPr="0062220B">
        <w:rPr>
          <w:rFonts w:ascii="Times New Roman" w:hAnsi="Times New Roman" w:cs="Times New Roman"/>
          <w:color w:val="auto"/>
          <w:sz w:val="24"/>
          <w:szCs w:val="24"/>
        </w:rPr>
        <w:t>3</w:t>
      </w:r>
      <w:r w:rsidRPr="0062220B">
        <w:rPr>
          <w:rFonts w:ascii="Times New Roman" w:hAnsi="Times New Roman" w:cs="Times New Roman"/>
          <w:color w:val="auto"/>
          <w:sz w:val="24"/>
          <w:szCs w:val="24"/>
        </w:rPr>
        <w:t xml:space="preserve">.1. Index Futures </w:t>
      </w:r>
    </w:p>
    <w:p w:rsidR="000D28AB" w:rsidRPr="00644EFC" w:rsidRDefault="000D28AB" w:rsidP="0062220B">
      <w:pPr>
        <w:pStyle w:val="Default"/>
        <w:spacing w:line="276" w:lineRule="auto"/>
        <w:ind w:left="426"/>
        <w:jc w:val="both"/>
        <w:rPr>
          <w:color w:val="auto"/>
        </w:rPr>
      </w:pPr>
      <w:r w:rsidRPr="0062220B">
        <w:rPr>
          <w:color w:val="auto"/>
          <w:sz w:val="22"/>
          <w:szCs w:val="22"/>
        </w:rPr>
        <w:t>The trading member position limits in index futures contracts shall be higher of Rs.500 crores or 15% of the total open interest in the market in index futures contracts. This limit would be applicable on open positions in all futures contracts on a partic</w:t>
      </w:r>
      <w:r w:rsidR="0062220B">
        <w:rPr>
          <w:color w:val="auto"/>
          <w:sz w:val="22"/>
          <w:szCs w:val="22"/>
        </w:rPr>
        <w:t>ular underlying index.</w:t>
      </w:r>
    </w:p>
    <w:p w:rsidR="000D28AB" w:rsidRPr="0062220B" w:rsidRDefault="000D28AB" w:rsidP="00DE28E3">
      <w:pPr>
        <w:pStyle w:val="Heading1"/>
        <w:jc w:val="both"/>
        <w:rPr>
          <w:rFonts w:ascii="Times New Roman" w:hAnsi="Times New Roman" w:cs="Times New Roman"/>
          <w:color w:val="auto"/>
          <w:sz w:val="24"/>
          <w:szCs w:val="24"/>
        </w:rPr>
      </w:pPr>
      <w:r w:rsidRPr="0062220B">
        <w:rPr>
          <w:rFonts w:ascii="Times New Roman" w:hAnsi="Times New Roman" w:cs="Times New Roman"/>
          <w:color w:val="auto"/>
          <w:sz w:val="24"/>
          <w:szCs w:val="24"/>
        </w:rPr>
        <w:t>1.</w:t>
      </w:r>
      <w:r w:rsidR="00AB200A" w:rsidRPr="0062220B">
        <w:rPr>
          <w:rFonts w:ascii="Times New Roman" w:hAnsi="Times New Roman" w:cs="Times New Roman"/>
          <w:color w:val="auto"/>
          <w:sz w:val="24"/>
          <w:szCs w:val="24"/>
        </w:rPr>
        <w:t>3</w:t>
      </w:r>
      <w:r w:rsidRPr="0062220B">
        <w:rPr>
          <w:rFonts w:ascii="Times New Roman" w:hAnsi="Times New Roman" w:cs="Times New Roman"/>
          <w:color w:val="auto"/>
          <w:sz w:val="24"/>
          <w:szCs w:val="24"/>
        </w:rPr>
        <w:t xml:space="preserve">.2. Index Options </w:t>
      </w:r>
    </w:p>
    <w:p w:rsidR="000D28AB" w:rsidRPr="0062220B" w:rsidRDefault="000D28AB" w:rsidP="00DE28E3">
      <w:pPr>
        <w:pStyle w:val="Default"/>
        <w:spacing w:line="276" w:lineRule="auto"/>
        <w:ind w:left="426"/>
        <w:jc w:val="both"/>
        <w:rPr>
          <w:color w:val="auto"/>
          <w:sz w:val="22"/>
          <w:szCs w:val="22"/>
        </w:rPr>
      </w:pPr>
      <w:r w:rsidRPr="0062220B">
        <w:rPr>
          <w:color w:val="auto"/>
          <w:sz w:val="22"/>
          <w:szCs w:val="22"/>
        </w:rPr>
        <w:t xml:space="preserve">The trading member position limits in index option contracts shall be higher of Rs.500 crores or 15% of the total open interest in the market in index option contracts. This limit would be applicable on open positions in all option contracts on a particular underlying index </w:t>
      </w:r>
    </w:p>
    <w:p w:rsidR="000D28AB" w:rsidRPr="0062220B" w:rsidRDefault="000D28AB" w:rsidP="00DE28E3">
      <w:pPr>
        <w:pStyle w:val="Heading1"/>
        <w:jc w:val="both"/>
        <w:rPr>
          <w:rFonts w:ascii="Times New Roman" w:hAnsi="Times New Roman" w:cs="Times New Roman"/>
          <w:color w:val="auto"/>
          <w:sz w:val="24"/>
          <w:szCs w:val="24"/>
        </w:rPr>
      </w:pPr>
      <w:r w:rsidRPr="0062220B">
        <w:rPr>
          <w:rFonts w:ascii="Times New Roman" w:hAnsi="Times New Roman" w:cs="Times New Roman"/>
          <w:color w:val="auto"/>
          <w:sz w:val="24"/>
          <w:szCs w:val="24"/>
        </w:rPr>
        <w:t>1.</w:t>
      </w:r>
      <w:r w:rsidR="00AB200A" w:rsidRPr="0062220B">
        <w:rPr>
          <w:rFonts w:ascii="Times New Roman" w:hAnsi="Times New Roman" w:cs="Times New Roman"/>
          <w:color w:val="auto"/>
          <w:sz w:val="24"/>
          <w:szCs w:val="24"/>
        </w:rPr>
        <w:t>3</w:t>
      </w:r>
      <w:r w:rsidRPr="0062220B">
        <w:rPr>
          <w:rFonts w:ascii="Times New Roman" w:hAnsi="Times New Roman" w:cs="Times New Roman"/>
          <w:color w:val="auto"/>
          <w:sz w:val="24"/>
          <w:szCs w:val="24"/>
        </w:rPr>
        <w:t xml:space="preserve">.3 Futures and Option contracts on individual securities: </w:t>
      </w:r>
    </w:p>
    <w:p w:rsidR="000D28AB" w:rsidRDefault="000246FE" w:rsidP="00DE28E3">
      <w:pPr>
        <w:pStyle w:val="Default"/>
        <w:spacing w:line="276" w:lineRule="auto"/>
        <w:ind w:left="709"/>
        <w:jc w:val="both"/>
      </w:pPr>
      <w:r>
        <w:t>The combined futures and options position limit shall be 20% of the applicable Market Wide Position Limit (MWPL).</w:t>
      </w:r>
    </w:p>
    <w:p w:rsidR="000246FE" w:rsidRPr="0062220B" w:rsidRDefault="000246FE" w:rsidP="00DE28E3">
      <w:pPr>
        <w:pStyle w:val="Default"/>
        <w:spacing w:line="276" w:lineRule="auto"/>
        <w:ind w:left="709"/>
        <w:jc w:val="both"/>
        <w:rPr>
          <w:color w:val="auto"/>
          <w:sz w:val="22"/>
          <w:szCs w:val="22"/>
        </w:rPr>
      </w:pPr>
    </w:p>
    <w:p w:rsidR="00C072A0" w:rsidRDefault="000D28AB" w:rsidP="000246FE">
      <w:pPr>
        <w:pStyle w:val="Default"/>
        <w:spacing w:line="276" w:lineRule="auto"/>
        <w:ind w:left="709"/>
        <w:jc w:val="both"/>
        <w:rPr>
          <w:color w:val="auto"/>
          <w:sz w:val="22"/>
          <w:szCs w:val="22"/>
        </w:rPr>
      </w:pPr>
      <w:r w:rsidRPr="0062220B">
        <w:rPr>
          <w:color w:val="auto"/>
          <w:sz w:val="22"/>
          <w:szCs w:val="22"/>
        </w:rPr>
        <w:t>The Exchange shall specify the trading member-wise position limits on the last trading day of the month which shall be reckoned for this purpose during the next month.</w:t>
      </w:r>
    </w:p>
    <w:p w:rsidR="000246FE" w:rsidRDefault="000246FE" w:rsidP="000246FE">
      <w:pPr>
        <w:pStyle w:val="Default"/>
        <w:spacing w:line="276" w:lineRule="auto"/>
        <w:rPr>
          <w:color w:val="auto"/>
          <w:sz w:val="22"/>
          <w:szCs w:val="22"/>
        </w:rPr>
      </w:pPr>
      <w:bookmarkStart w:id="6" w:name="_1.4_Position_Limits"/>
      <w:bookmarkEnd w:id="6"/>
    </w:p>
    <w:p w:rsidR="000246FE" w:rsidRDefault="000246FE" w:rsidP="000246FE">
      <w:pPr>
        <w:pStyle w:val="Default"/>
        <w:spacing w:line="276" w:lineRule="auto"/>
        <w:rPr>
          <w:color w:val="auto"/>
          <w:sz w:val="22"/>
          <w:szCs w:val="22"/>
        </w:rPr>
      </w:pPr>
    </w:p>
    <w:p w:rsidR="000246FE" w:rsidRPr="00F25068" w:rsidRDefault="00AB4D6B" w:rsidP="000246FE">
      <w:pPr>
        <w:pStyle w:val="Default"/>
        <w:spacing w:line="276" w:lineRule="auto"/>
        <w:rPr>
          <w:color w:val="FF0000"/>
          <w:sz w:val="16"/>
          <w:szCs w:val="16"/>
          <w:u w:val="single"/>
        </w:rPr>
      </w:pPr>
      <w:r w:rsidRPr="0062220B">
        <w:rPr>
          <w:rFonts w:eastAsiaTheme="minorHAnsi"/>
          <w:color w:val="auto"/>
        </w:rPr>
        <w:t>1</w:t>
      </w:r>
      <w:r w:rsidRPr="0062220B">
        <w:rPr>
          <w:rStyle w:val="Heading2Char"/>
          <w:rFonts w:ascii="Times New Roman" w:hAnsi="Times New Roman" w:cs="Times New Roman"/>
          <w:color w:val="auto"/>
          <w:sz w:val="24"/>
          <w:szCs w:val="24"/>
        </w:rPr>
        <w:t>.</w:t>
      </w:r>
      <w:r w:rsidR="00AB200A" w:rsidRPr="0062220B">
        <w:rPr>
          <w:rStyle w:val="Heading2Char"/>
          <w:rFonts w:ascii="Times New Roman" w:hAnsi="Times New Roman" w:cs="Times New Roman"/>
          <w:color w:val="auto"/>
          <w:sz w:val="24"/>
          <w:szCs w:val="24"/>
        </w:rPr>
        <w:t>4</w:t>
      </w:r>
      <w:r w:rsidRPr="0062220B">
        <w:rPr>
          <w:rStyle w:val="Heading2Char"/>
          <w:rFonts w:ascii="Times New Roman" w:hAnsi="Times New Roman" w:cs="Times New Roman"/>
          <w:color w:val="auto"/>
          <w:sz w:val="24"/>
          <w:szCs w:val="24"/>
        </w:rPr>
        <w:t xml:space="preserve"> Position Limits for FII/ FPI category I &amp; II and MF </w:t>
      </w:r>
      <w:r w:rsidRPr="0062220B">
        <w:rPr>
          <w:rStyle w:val="Heading2Char"/>
          <w:rFonts w:ascii="Times New Roman" w:hAnsi="Times New Roman" w:cs="Times New Roman"/>
          <w:color w:val="auto"/>
          <w:sz w:val="24"/>
          <w:szCs w:val="24"/>
        </w:rPr>
        <w:tab/>
      </w:r>
      <w:r w:rsidRPr="0062220B">
        <w:rPr>
          <w:color w:val="auto"/>
        </w:rPr>
        <w:tab/>
      </w:r>
      <w:r w:rsidRPr="0062220B">
        <w:rPr>
          <w:color w:val="auto"/>
        </w:rPr>
        <w:tab/>
      </w:r>
      <w:r w:rsidR="000246FE">
        <w:rPr>
          <w:color w:val="auto"/>
        </w:rPr>
        <w:tab/>
      </w:r>
      <w:r w:rsidRPr="0062220B">
        <w:rPr>
          <w:color w:val="auto"/>
        </w:rPr>
        <w:tab/>
      </w:r>
    </w:p>
    <w:p w:rsidR="009A7F6A" w:rsidRPr="0062220B" w:rsidRDefault="0080569D" w:rsidP="00DE28E3">
      <w:pPr>
        <w:pStyle w:val="Heading1"/>
        <w:jc w:val="both"/>
        <w:rPr>
          <w:rFonts w:ascii="Times New Roman" w:hAnsi="Times New Roman" w:cs="Times New Roman"/>
          <w:color w:val="auto"/>
          <w:sz w:val="24"/>
          <w:szCs w:val="24"/>
        </w:rPr>
      </w:pPr>
      <w:r w:rsidRPr="0062220B">
        <w:rPr>
          <w:rFonts w:ascii="Times New Roman" w:hAnsi="Times New Roman" w:cs="Times New Roman"/>
          <w:color w:val="auto"/>
          <w:sz w:val="24"/>
          <w:szCs w:val="24"/>
        </w:rPr>
        <w:t>1.</w:t>
      </w:r>
      <w:r w:rsidR="00AB200A" w:rsidRPr="0062220B">
        <w:rPr>
          <w:rFonts w:ascii="Times New Roman" w:hAnsi="Times New Roman" w:cs="Times New Roman"/>
          <w:color w:val="auto"/>
          <w:sz w:val="24"/>
          <w:szCs w:val="24"/>
        </w:rPr>
        <w:t>4</w:t>
      </w:r>
      <w:r w:rsidRPr="0062220B">
        <w:rPr>
          <w:rFonts w:ascii="Times New Roman" w:hAnsi="Times New Roman" w:cs="Times New Roman"/>
          <w:color w:val="auto"/>
          <w:sz w:val="24"/>
          <w:szCs w:val="24"/>
        </w:rPr>
        <w:t>.1</w:t>
      </w:r>
      <w:r w:rsidR="009A7F6A" w:rsidRPr="0062220B">
        <w:rPr>
          <w:rFonts w:ascii="Times New Roman" w:hAnsi="Times New Roman" w:cs="Times New Roman"/>
          <w:color w:val="auto"/>
          <w:sz w:val="24"/>
          <w:szCs w:val="24"/>
        </w:rPr>
        <w:t xml:space="preserve"> Position limits on individual securities </w:t>
      </w:r>
    </w:p>
    <w:p w:rsidR="00F25068" w:rsidRPr="000246FE" w:rsidRDefault="000246FE" w:rsidP="000246FE">
      <w:pPr>
        <w:pStyle w:val="Default"/>
        <w:spacing w:line="276" w:lineRule="auto"/>
        <w:ind w:left="709"/>
        <w:jc w:val="both"/>
      </w:pPr>
      <w:r>
        <w:t>The combined futures and options position limit shall be 20% of the applicable Market Wide Position Limit (MWPL).</w:t>
      </w:r>
    </w:p>
    <w:p w:rsidR="00AB4D6B" w:rsidRPr="0062220B" w:rsidRDefault="00AB200A" w:rsidP="00DE28E3">
      <w:pPr>
        <w:pStyle w:val="Heading1"/>
        <w:jc w:val="both"/>
        <w:rPr>
          <w:rFonts w:ascii="Times New Roman" w:hAnsi="Times New Roman" w:cs="Times New Roman"/>
          <w:color w:val="auto"/>
          <w:sz w:val="24"/>
          <w:szCs w:val="24"/>
        </w:rPr>
      </w:pPr>
      <w:r w:rsidRPr="0062220B">
        <w:rPr>
          <w:rFonts w:ascii="Times New Roman" w:hAnsi="Times New Roman" w:cs="Times New Roman"/>
          <w:color w:val="auto"/>
          <w:sz w:val="24"/>
          <w:szCs w:val="24"/>
        </w:rPr>
        <w:t>1.4.2</w:t>
      </w:r>
      <w:r w:rsidR="00AB4D6B" w:rsidRPr="0062220B">
        <w:rPr>
          <w:rFonts w:ascii="Times New Roman" w:hAnsi="Times New Roman" w:cs="Times New Roman"/>
          <w:color w:val="auto"/>
          <w:sz w:val="24"/>
          <w:szCs w:val="24"/>
        </w:rPr>
        <w:t xml:space="preserve"> Position limits in index </w:t>
      </w:r>
      <w:r w:rsidR="009A7F6A" w:rsidRPr="0062220B">
        <w:rPr>
          <w:rFonts w:ascii="Times New Roman" w:hAnsi="Times New Roman" w:cs="Times New Roman"/>
          <w:color w:val="auto"/>
          <w:sz w:val="24"/>
          <w:szCs w:val="24"/>
        </w:rPr>
        <w:t xml:space="preserve">Futures and Index </w:t>
      </w:r>
      <w:r w:rsidR="00AB4D6B" w:rsidRPr="0062220B">
        <w:rPr>
          <w:rFonts w:ascii="Times New Roman" w:hAnsi="Times New Roman" w:cs="Times New Roman"/>
          <w:color w:val="auto"/>
          <w:sz w:val="24"/>
          <w:szCs w:val="24"/>
        </w:rPr>
        <w:t xml:space="preserve">options contracts: </w:t>
      </w:r>
    </w:p>
    <w:p w:rsidR="00F25068" w:rsidRDefault="00AB4D6B" w:rsidP="00DE28E3">
      <w:pPr>
        <w:pStyle w:val="Default"/>
        <w:spacing w:line="276" w:lineRule="auto"/>
        <w:ind w:left="426"/>
        <w:jc w:val="both"/>
        <w:rPr>
          <w:color w:val="auto"/>
          <w:sz w:val="22"/>
          <w:szCs w:val="22"/>
        </w:rPr>
      </w:pPr>
      <w:r w:rsidRPr="0062220B">
        <w:rPr>
          <w:rStyle w:val="Heading3Char"/>
          <w:rFonts w:ascii="Times New Roman" w:hAnsi="Times New Roman" w:cs="Times New Roman"/>
          <w:b w:val="0"/>
          <w:color w:val="auto"/>
          <w:sz w:val="22"/>
          <w:szCs w:val="22"/>
        </w:rPr>
        <w:t>FII/</w:t>
      </w:r>
      <w:r w:rsidRPr="0062220B">
        <w:rPr>
          <w:rStyle w:val="Heading2Char"/>
          <w:rFonts w:ascii="Times New Roman" w:hAnsi="Times New Roman" w:cs="Times New Roman"/>
          <w:b w:val="0"/>
          <w:color w:val="auto"/>
          <w:sz w:val="22"/>
          <w:szCs w:val="22"/>
        </w:rPr>
        <w:t xml:space="preserve"> FPI category I &amp; II and </w:t>
      </w:r>
      <w:r w:rsidRPr="0062220B">
        <w:rPr>
          <w:rStyle w:val="Heading3Char"/>
          <w:rFonts w:ascii="Times New Roman" w:hAnsi="Times New Roman" w:cs="Times New Roman"/>
          <w:b w:val="0"/>
          <w:color w:val="auto"/>
          <w:sz w:val="22"/>
          <w:szCs w:val="22"/>
        </w:rPr>
        <w:t>MF</w:t>
      </w:r>
      <w:r w:rsidRPr="0062220B">
        <w:rPr>
          <w:color w:val="auto"/>
          <w:sz w:val="22"/>
          <w:szCs w:val="22"/>
        </w:rPr>
        <w:t xml:space="preserve"> position limit in all index </w:t>
      </w:r>
      <w:r w:rsidR="00766C9C" w:rsidRPr="0062220B">
        <w:rPr>
          <w:color w:val="auto"/>
          <w:sz w:val="22"/>
          <w:szCs w:val="22"/>
        </w:rPr>
        <w:t xml:space="preserve">future / </w:t>
      </w:r>
      <w:r w:rsidRPr="0062220B">
        <w:rPr>
          <w:color w:val="auto"/>
          <w:sz w:val="22"/>
          <w:szCs w:val="22"/>
        </w:rPr>
        <w:t xml:space="preserve">options contracts on a particular underlying index shall be Rs.500 crores or 15 % of the total open interest of the market </w:t>
      </w:r>
    </w:p>
    <w:p w:rsidR="00AB4D6B" w:rsidRPr="0062220B" w:rsidRDefault="00AB4D6B" w:rsidP="00DE28E3">
      <w:pPr>
        <w:pStyle w:val="Default"/>
        <w:spacing w:line="276" w:lineRule="auto"/>
        <w:ind w:left="426"/>
        <w:jc w:val="both"/>
        <w:rPr>
          <w:color w:val="auto"/>
          <w:sz w:val="22"/>
          <w:szCs w:val="22"/>
        </w:rPr>
      </w:pPr>
      <w:r w:rsidRPr="0062220B">
        <w:rPr>
          <w:color w:val="auto"/>
          <w:sz w:val="22"/>
          <w:szCs w:val="22"/>
        </w:rPr>
        <w:t>in index</w:t>
      </w:r>
      <w:r w:rsidR="00766C9C" w:rsidRPr="0062220B">
        <w:rPr>
          <w:color w:val="auto"/>
          <w:sz w:val="22"/>
          <w:szCs w:val="22"/>
        </w:rPr>
        <w:t xml:space="preserve"> future /</w:t>
      </w:r>
      <w:r w:rsidRPr="0062220B">
        <w:rPr>
          <w:color w:val="auto"/>
          <w:sz w:val="22"/>
          <w:szCs w:val="22"/>
        </w:rPr>
        <w:t xml:space="preserve"> options, whichever is higher. This limit would be applicable on open positions in all </w:t>
      </w:r>
      <w:r w:rsidR="00766C9C" w:rsidRPr="0062220B">
        <w:rPr>
          <w:color w:val="auto"/>
          <w:sz w:val="22"/>
          <w:szCs w:val="22"/>
        </w:rPr>
        <w:t xml:space="preserve">future / </w:t>
      </w:r>
      <w:r w:rsidRPr="0062220B">
        <w:rPr>
          <w:color w:val="auto"/>
          <w:sz w:val="22"/>
          <w:szCs w:val="22"/>
        </w:rPr>
        <w:t xml:space="preserve">options contracts on a particular underlying index. </w:t>
      </w:r>
    </w:p>
    <w:p w:rsidR="009A7F6A" w:rsidRPr="0062220B" w:rsidRDefault="009A7F6A" w:rsidP="00DE28E3">
      <w:pPr>
        <w:spacing w:before="307"/>
        <w:ind w:left="426"/>
        <w:jc w:val="both"/>
        <w:textAlignment w:val="baseline"/>
        <w:rPr>
          <w:rFonts w:ascii="Times New Roman" w:eastAsia="Garamond" w:hAnsi="Times New Roman" w:cs="Times New Roman"/>
        </w:rPr>
      </w:pPr>
      <w:r w:rsidRPr="0062220B">
        <w:rPr>
          <w:rFonts w:ascii="Times New Roman" w:eastAsia="Garamond" w:hAnsi="Times New Roman" w:cs="Times New Roman"/>
        </w:rPr>
        <w:t>This limit would be applicable on open positions in all futures</w:t>
      </w:r>
      <w:r w:rsidR="00C47006" w:rsidRPr="0062220B">
        <w:rPr>
          <w:rFonts w:ascii="Times New Roman" w:eastAsia="Garamond" w:hAnsi="Times New Roman" w:cs="Times New Roman"/>
        </w:rPr>
        <w:t xml:space="preserve"> /Options</w:t>
      </w:r>
      <w:r w:rsidRPr="0062220B">
        <w:rPr>
          <w:rFonts w:ascii="Times New Roman" w:eastAsia="Garamond" w:hAnsi="Times New Roman" w:cs="Times New Roman"/>
        </w:rPr>
        <w:t xml:space="preserve"> contracts on a particular underlying index.</w:t>
      </w:r>
    </w:p>
    <w:p w:rsidR="009A7F6A" w:rsidRPr="0062220B" w:rsidRDefault="009A7F6A" w:rsidP="00DE28E3">
      <w:pPr>
        <w:spacing w:before="303"/>
        <w:ind w:left="426"/>
        <w:jc w:val="both"/>
        <w:textAlignment w:val="baseline"/>
        <w:rPr>
          <w:rFonts w:ascii="Times New Roman" w:eastAsia="Garamond" w:hAnsi="Times New Roman" w:cs="Times New Roman"/>
        </w:rPr>
      </w:pPr>
      <w:r w:rsidRPr="0062220B">
        <w:rPr>
          <w:rFonts w:ascii="Times New Roman" w:eastAsia="Garamond" w:hAnsi="Times New Roman" w:cs="Times New Roman"/>
        </w:rPr>
        <w:t>In addition to the position limits above, Mutual Funds/FIIs may take exposure in equity index derivatives subject to the following limits:</w:t>
      </w:r>
    </w:p>
    <w:p w:rsidR="009A7F6A" w:rsidRPr="0062220B" w:rsidRDefault="009A7F6A" w:rsidP="00DE28E3">
      <w:pPr>
        <w:numPr>
          <w:ilvl w:val="0"/>
          <w:numId w:val="8"/>
        </w:numPr>
        <w:tabs>
          <w:tab w:val="clear" w:pos="432"/>
          <w:tab w:val="left" w:pos="1440"/>
        </w:tabs>
        <w:spacing w:before="2" w:after="0"/>
        <w:ind w:left="1368" w:hanging="360"/>
        <w:jc w:val="both"/>
        <w:textAlignment w:val="baseline"/>
        <w:rPr>
          <w:rFonts w:ascii="Times New Roman" w:eastAsia="Garamond" w:hAnsi="Times New Roman" w:cs="Times New Roman"/>
        </w:rPr>
      </w:pPr>
      <w:r w:rsidRPr="0062220B">
        <w:rPr>
          <w:rFonts w:ascii="Times New Roman" w:eastAsia="Garamond" w:hAnsi="Times New Roman" w:cs="Times New Roman"/>
        </w:rPr>
        <w:t>Short positions in index derivatives (short futures, short calls and long puts) shall not exceed (in notional value) the Mutual Fund‟s/FIIs holding of stocks.</w:t>
      </w:r>
    </w:p>
    <w:p w:rsidR="00AB4D6B" w:rsidRPr="0062220B" w:rsidRDefault="009A7F6A" w:rsidP="00092E85">
      <w:pPr>
        <w:numPr>
          <w:ilvl w:val="0"/>
          <w:numId w:val="8"/>
        </w:numPr>
        <w:tabs>
          <w:tab w:val="clear" w:pos="432"/>
          <w:tab w:val="left" w:pos="1440"/>
        </w:tabs>
        <w:spacing w:after="0"/>
        <w:ind w:left="1368" w:hanging="360"/>
        <w:jc w:val="both"/>
        <w:textAlignment w:val="baseline"/>
        <w:rPr>
          <w:sz w:val="23"/>
          <w:szCs w:val="23"/>
        </w:rPr>
      </w:pPr>
      <w:r w:rsidRPr="0062220B">
        <w:rPr>
          <w:rFonts w:ascii="Times New Roman" w:eastAsia="Garamond" w:hAnsi="Times New Roman" w:cs="Times New Roman"/>
        </w:rPr>
        <w:t>Long positions in index derivatives (long futures, long calls and short puts) shall not exceed (in notional value) the Mutual Fund‟s/FIIs holding of cash, government securities, T-Bills and similar instruments.</w:t>
      </w:r>
      <w:r w:rsidR="000246FE">
        <w:rPr>
          <w:rFonts w:ascii="Times New Roman" w:eastAsia="Garamond" w:hAnsi="Times New Roman" w:cs="Times New Roman"/>
        </w:rPr>
        <w:tab/>
      </w:r>
      <w:r w:rsidR="000246FE">
        <w:rPr>
          <w:rFonts w:ascii="Times New Roman" w:eastAsia="Garamond" w:hAnsi="Times New Roman" w:cs="Times New Roman"/>
        </w:rPr>
        <w:tab/>
      </w:r>
      <w:r w:rsidR="000246FE">
        <w:rPr>
          <w:rFonts w:ascii="Times New Roman" w:eastAsia="Garamond" w:hAnsi="Times New Roman" w:cs="Times New Roman"/>
        </w:rPr>
        <w:tab/>
      </w:r>
      <w:r w:rsidR="000246FE">
        <w:rPr>
          <w:rFonts w:ascii="Times New Roman" w:eastAsia="Garamond" w:hAnsi="Times New Roman" w:cs="Times New Roman"/>
        </w:rPr>
        <w:tab/>
      </w:r>
      <w:r w:rsidR="000246FE">
        <w:rPr>
          <w:rFonts w:ascii="Times New Roman" w:eastAsia="Garamond" w:hAnsi="Times New Roman" w:cs="Times New Roman"/>
        </w:rPr>
        <w:tab/>
      </w:r>
      <w:r w:rsidR="000246FE">
        <w:rPr>
          <w:rFonts w:ascii="Times New Roman" w:eastAsia="Garamond" w:hAnsi="Times New Roman" w:cs="Times New Roman"/>
        </w:rPr>
        <w:tab/>
      </w:r>
      <w:r w:rsidR="000246FE">
        <w:rPr>
          <w:rFonts w:ascii="Times New Roman" w:eastAsia="Garamond" w:hAnsi="Times New Roman" w:cs="Times New Roman"/>
        </w:rPr>
        <w:tab/>
      </w:r>
      <w:hyperlink w:anchor="_top" w:history="1">
        <w:r w:rsidR="000246FE" w:rsidRPr="00644EFC">
          <w:rPr>
            <w:rStyle w:val="Hyperlink"/>
            <w:color w:val="FF0000"/>
            <w:sz w:val="16"/>
            <w:szCs w:val="16"/>
          </w:rPr>
          <w:t>Go Top</w:t>
        </w:r>
      </w:hyperlink>
    </w:p>
    <w:p w:rsidR="0067645B" w:rsidRPr="0062220B" w:rsidRDefault="0067645B" w:rsidP="00DE28E3">
      <w:pPr>
        <w:pStyle w:val="Heading1"/>
        <w:ind w:left="567" w:hanging="567"/>
        <w:jc w:val="both"/>
        <w:rPr>
          <w:rFonts w:ascii="Times New Roman" w:hAnsi="Times New Roman" w:cs="Times New Roman"/>
          <w:color w:val="auto"/>
          <w:sz w:val="24"/>
          <w:szCs w:val="24"/>
        </w:rPr>
      </w:pPr>
      <w:bookmarkStart w:id="7" w:name="_1.2_Client_Level"/>
      <w:bookmarkStart w:id="8" w:name="_1.2_Client_and"/>
      <w:bookmarkStart w:id="9" w:name="_1.5_Position_Limits"/>
      <w:bookmarkEnd w:id="7"/>
      <w:bookmarkEnd w:id="8"/>
      <w:bookmarkEnd w:id="9"/>
      <w:r w:rsidRPr="0062220B">
        <w:rPr>
          <w:rStyle w:val="Heading2Char"/>
          <w:rFonts w:ascii="Times New Roman" w:hAnsi="Times New Roman" w:cs="Times New Roman"/>
          <w:b/>
          <w:color w:val="auto"/>
          <w:sz w:val="24"/>
          <w:szCs w:val="24"/>
        </w:rPr>
        <w:lastRenderedPageBreak/>
        <w:t>1</w:t>
      </w:r>
      <w:r w:rsidR="0080569D" w:rsidRPr="0062220B">
        <w:rPr>
          <w:rStyle w:val="Heading2Char"/>
          <w:rFonts w:ascii="Times New Roman" w:hAnsi="Times New Roman" w:cs="Times New Roman"/>
          <w:b/>
          <w:color w:val="auto"/>
          <w:sz w:val="24"/>
          <w:szCs w:val="24"/>
        </w:rPr>
        <w:t>.</w:t>
      </w:r>
      <w:r w:rsidR="00AB200A" w:rsidRPr="0062220B">
        <w:rPr>
          <w:rStyle w:val="Heading2Char"/>
          <w:rFonts w:ascii="Times New Roman" w:hAnsi="Times New Roman" w:cs="Times New Roman"/>
          <w:b/>
          <w:color w:val="auto"/>
          <w:sz w:val="24"/>
          <w:szCs w:val="24"/>
        </w:rPr>
        <w:t>5</w:t>
      </w:r>
      <w:r w:rsidR="00654C4A" w:rsidRPr="0062220B">
        <w:rPr>
          <w:rStyle w:val="Heading2Char"/>
          <w:rFonts w:ascii="Times New Roman" w:hAnsi="Times New Roman" w:cs="Times New Roman"/>
          <w:color w:val="auto"/>
          <w:sz w:val="24"/>
          <w:szCs w:val="24"/>
        </w:rPr>
        <w:tab/>
      </w:r>
      <w:r w:rsidR="00654C4A" w:rsidRPr="0062220B">
        <w:rPr>
          <w:rStyle w:val="Heading2Char"/>
          <w:rFonts w:ascii="Times New Roman" w:hAnsi="Times New Roman" w:cs="Times New Roman"/>
          <w:b/>
          <w:color w:val="auto"/>
          <w:sz w:val="24"/>
          <w:szCs w:val="24"/>
        </w:rPr>
        <w:t>Position Limits for Clients/ FPI Category III</w:t>
      </w:r>
      <w:r w:rsidR="00292754" w:rsidRPr="0062220B">
        <w:rPr>
          <w:rStyle w:val="Heading2Char"/>
          <w:rFonts w:ascii="Times New Roman" w:hAnsi="Times New Roman" w:cs="Times New Roman"/>
          <w:b/>
          <w:color w:val="auto"/>
          <w:sz w:val="24"/>
          <w:szCs w:val="24"/>
        </w:rPr>
        <w:t>/FII Sub-Accounts</w:t>
      </w:r>
      <w:r w:rsidR="00654C4A" w:rsidRPr="0062220B">
        <w:rPr>
          <w:rStyle w:val="Heading2Char"/>
          <w:rFonts w:ascii="Times New Roman" w:hAnsi="Times New Roman" w:cs="Times New Roman"/>
          <w:b/>
          <w:color w:val="auto"/>
          <w:sz w:val="24"/>
          <w:szCs w:val="24"/>
        </w:rPr>
        <w:t xml:space="preserve">/ Schemes of Mutual Funds &amp; </w:t>
      </w:r>
      <w:r w:rsidR="00292754" w:rsidRPr="0062220B">
        <w:rPr>
          <w:rStyle w:val="Heading2Char"/>
          <w:rFonts w:ascii="Times New Roman" w:hAnsi="Times New Roman" w:cs="Times New Roman"/>
          <w:b/>
          <w:color w:val="auto"/>
          <w:sz w:val="24"/>
          <w:szCs w:val="24"/>
        </w:rPr>
        <w:t>NRIs</w:t>
      </w:r>
      <w:r w:rsidR="00C74806" w:rsidRPr="0062220B">
        <w:rPr>
          <w:rFonts w:ascii="Times New Roman" w:hAnsi="Times New Roman" w:cs="Times New Roman"/>
          <w:color w:val="auto"/>
          <w:sz w:val="24"/>
          <w:szCs w:val="24"/>
        </w:rPr>
        <w:t xml:space="preserve">     </w:t>
      </w:r>
      <w:r w:rsidR="00C74806" w:rsidRPr="0062220B">
        <w:rPr>
          <w:rFonts w:ascii="Times New Roman" w:eastAsiaTheme="minorHAnsi" w:hAnsi="Times New Roman" w:cs="Times New Roman"/>
          <w:color w:val="auto"/>
          <w:sz w:val="24"/>
          <w:szCs w:val="24"/>
        </w:rPr>
        <w:t xml:space="preserve">   </w:t>
      </w:r>
    </w:p>
    <w:p w:rsidR="0067645B" w:rsidRPr="0062220B" w:rsidRDefault="0018717C" w:rsidP="00DE28E3">
      <w:pPr>
        <w:pStyle w:val="Default"/>
        <w:spacing w:line="276" w:lineRule="auto"/>
        <w:jc w:val="both"/>
        <w:rPr>
          <w:color w:val="auto"/>
        </w:rPr>
      </w:pPr>
      <w:r w:rsidRPr="0062220B">
        <w:rPr>
          <w:rStyle w:val="Heading2Char"/>
          <w:color w:val="auto"/>
          <w:sz w:val="24"/>
          <w:szCs w:val="24"/>
        </w:rPr>
        <w:t>1</w:t>
      </w:r>
      <w:r w:rsidR="0067645B" w:rsidRPr="0062220B">
        <w:rPr>
          <w:rStyle w:val="Heading2Char"/>
          <w:color w:val="auto"/>
          <w:sz w:val="24"/>
          <w:szCs w:val="24"/>
        </w:rPr>
        <w:t>.</w:t>
      </w:r>
      <w:r w:rsidR="00634AC4" w:rsidRPr="0062220B">
        <w:rPr>
          <w:rStyle w:val="Heading2Char"/>
          <w:color w:val="auto"/>
          <w:sz w:val="24"/>
          <w:szCs w:val="24"/>
        </w:rPr>
        <w:t>5</w:t>
      </w:r>
      <w:r w:rsidR="0067645B" w:rsidRPr="0062220B">
        <w:rPr>
          <w:rStyle w:val="Heading2Char"/>
          <w:color w:val="auto"/>
          <w:sz w:val="24"/>
          <w:szCs w:val="24"/>
        </w:rPr>
        <w:t>.1.</w:t>
      </w:r>
      <w:r w:rsidR="0067645B" w:rsidRPr="0062220B">
        <w:rPr>
          <w:rStyle w:val="Heading2Char"/>
          <w:rFonts w:ascii="Times New Roman" w:hAnsi="Times New Roman" w:cs="Times New Roman"/>
          <w:color w:val="auto"/>
          <w:sz w:val="24"/>
          <w:szCs w:val="24"/>
        </w:rPr>
        <w:t xml:space="preserve"> Futures and Option contracts on individual securities</w:t>
      </w:r>
      <w:r w:rsidR="0067645B" w:rsidRPr="0062220B">
        <w:rPr>
          <w:b/>
          <w:bCs/>
          <w:color w:val="auto"/>
        </w:rPr>
        <w:t xml:space="preserve"> </w:t>
      </w:r>
    </w:p>
    <w:p w:rsidR="0067645B" w:rsidRPr="0062220B" w:rsidRDefault="0067645B" w:rsidP="00DE28E3">
      <w:pPr>
        <w:pStyle w:val="Default"/>
        <w:spacing w:line="276" w:lineRule="auto"/>
        <w:ind w:left="426"/>
        <w:jc w:val="both"/>
        <w:rPr>
          <w:color w:val="auto"/>
          <w:sz w:val="22"/>
          <w:szCs w:val="22"/>
        </w:rPr>
      </w:pPr>
      <w:r w:rsidRPr="0062220B">
        <w:rPr>
          <w:color w:val="auto"/>
          <w:sz w:val="22"/>
          <w:szCs w:val="22"/>
        </w:rPr>
        <w:t xml:space="preserve">The gross open position across all the derivative contracts for a security for each specific client </w:t>
      </w:r>
      <w:r w:rsidR="00654C4A" w:rsidRPr="0062220B">
        <w:rPr>
          <w:color w:val="auto"/>
          <w:sz w:val="22"/>
          <w:szCs w:val="22"/>
        </w:rPr>
        <w:t>or Sub account o</w:t>
      </w:r>
      <w:r w:rsidR="004F3676" w:rsidRPr="0062220B">
        <w:rPr>
          <w:color w:val="auto"/>
          <w:sz w:val="22"/>
          <w:szCs w:val="22"/>
        </w:rPr>
        <w:t>r</w:t>
      </w:r>
      <w:r w:rsidR="00654C4A" w:rsidRPr="0062220B">
        <w:rPr>
          <w:color w:val="auto"/>
          <w:sz w:val="22"/>
          <w:szCs w:val="22"/>
        </w:rPr>
        <w:t xml:space="preserve"> Mutual Fund </w:t>
      </w:r>
      <w:r w:rsidRPr="0062220B">
        <w:rPr>
          <w:color w:val="auto"/>
          <w:sz w:val="22"/>
          <w:szCs w:val="22"/>
        </w:rPr>
        <w:t xml:space="preserve">shall not exceed higher of: </w:t>
      </w:r>
    </w:p>
    <w:p w:rsidR="0067645B" w:rsidRPr="0062220B" w:rsidRDefault="0067645B" w:rsidP="00DE28E3">
      <w:pPr>
        <w:pStyle w:val="Default"/>
        <w:spacing w:line="276" w:lineRule="auto"/>
        <w:ind w:left="426"/>
        <w:jc w:val="both"/>
        <w:rPr>
          <w:color w:val="auto"/>
          <w:sz w:val="22"/>
          <w:szCs w:val="22"/>
        </w:rPr>
      </w:pPr>
      <w:r w:rsidRPr="0062220B">
        <w:rPr>
          <w:color w:val="auto"/>
          <w:sz w:val="22"/>
          <w:szCs w:val="22"/>
        </w:rPr>
        <w:t xml:space="preserve">- 1% of the free float market capitalization (in terms of number of shares) </w:t>
      </w:r>
    </w:p>
    <w:p w:rsidR="0067645B" w:rsidRPr="0062220B" w:rsidRDefault="0067645B" w:rsidP="00DE28E3">
      <w:pPr>
        <w:pStyle w:val="Default"/>
        <w:spacing w:line="276" w:lineRule="auto"/>
        <w:ind w:left="426"/>
        <w:jc w:val="both"/>
        <w:rPr>
          <w:color w:val="auto"/>
          <w:sz w:val="22"/>
          <w:szCs w:val="22"/>
        </w:rPr>
      </w:pPr>
      <w:r w:rsidRPr="0062220B">
        <w:rPr>
          <w:color w:val="auto"/>
          <w:sz w:val="22"/>
          <w:szCs w:val="22"/>
        </w:rPr>
        <w:t xml:space="preserve">OR </w:t>
      </w:r>
    </w:p>
    <w:p w:rsidR="0067645B" w:rsidRPr="0062220B" w:rsidRDefault="0067645B" w:rsidP="00DE28E3">
      <w:pPr>
        <w:pStyle w:val="Default"/>
        <w:spacing w:line="276" w:lineRule="auto"/>
        <w:ind w:left="426"/>
        <w:jc w:val="both"/>
        <w:rPr>
          <w:color w:val="auto"/>
          <w:sz w:val="22"/>
          <w:szCs w:val="22"/>
        </w:rPr>
      </w:pPr>
      <w:r w:rsidRPr="0062220B">
        <w:rPr>
          <w:color w:val="auto"/>
          <w:sz w:val="22"/>
          <w:szCs w:val="22"/>
        </w:rPr>
        <w:t xml:space="preserve">- 5% of the open interest in all derivative contracts in the same underlying stock (in terms of number of shares) </w:t>
      </w:r>
    </w:p>
    <w:p w:rsidR="000D28AB" w:rsidRPr="00644EFC" w:rsidRDefault="000D28AB" w:rsidP="00DE28E3">
      <w:pPr>
        <w:pStyle w:val="Default"/>
        <w:spacing w:line="276" w:lineRule="auto"/>
        <w:jc w:val="both"/>
        <w:rPr>
          <w:color w:val="auto"/>
          <w:sz w:val="23"/>
          <w:szCs w:val="23"/>
        </w:rPr>
      </w:pPr>
    </w:p>
    <w:p w:rsidR="000D28AB" w:rsidRPr="0062220B" w:rsidRDefault="00AB200A" w:rsidP="00DE28E3">
      <w:pPr>
        <w:pStyle w:val="Heading2"/>
        <w:jc w:val="both"/>
        <w:rPr>
          <w:rFonts w:ascii="Times New Roman" w:hAnsi="Times New Roman" w:cs="Times New Roman"/>
          <w:i/>
          <w:color w:val="auto"/>
          <w:sz w:val="24"/>
          <w:szCs w:val="24"/>
        </w:rPr>
      </w:pPr>
      <w:r w:rsidRPr="00644EFC">
        <w:rPr>
          <w:rStyle w:val="Heading4Char"/>
          <w:rFonts w:ascii="Times New Roman" w:hAnsi="Times New Roman" w:cs="Times New Roman"/>
          <w:b/>
          <w:i w:val="0"/>
          <w:color w:val="auto"/>
          <w:sz w:val="28"/>
          <w:szCs w:val="28"/>
        </w:rPr>
        <w:t>1</w:t>
      </w:r>
      <w:r w:rsidRPr="0062220B">
        <w:rPr>
          <w:rStyle w:val="Heading4Char"/>
          <w:rFonts w:ascii="Times New Roman" w:hAnsi="Times New Roman" w:cs="Times New Roman"/>
          <w:b/>
          <w:i w:val="0"/>
          <w:color w:val="auto"/>
          <w:sz w:val="24"/>
          <w:szCs w:val="24"/>
        </w:rPr>
        <w:t>.5.</w:t>
      </w:r>
      <w:r w:rsidR="00634AC4" w:rsidRPr="0062220B">
        <w:rPr>
          <w:rStyle w:val="Heading4Char"/>
          <w:rFonts w:ascii="Times New Roman" w:hAnsi="Times New Roman" w:cs="Times New Roman"/>
          <w:b/>
          <w:i w:val="0"/>
          <w:color w:val="auto"/>
          <w:sz w:val="24"/>
          <w:szCs w:val="24"/>
        </w:rPr>
        <w:t>2</w:t>
      </w:r>
      <w:r w:rsidRPr="0062220B">
        <w:rPr>
          <w:rStyle w:val="Heading4Char"/>
          <w:rFonts w:ascii="Times New Roman" w:hAnsi="Times New Roman" w:cs="Times New Roman"/>
          <w:b/>
          <w:i w:val="0"/>
          <w:color w:val="auto"/>
          <w:sz w:val="24"/>
          <w:szCs w:val="24"/>
        </w:rPr>
        <w:t xml:space="preserve"> Limits</w:t>
      </w:r>
      <w:r w:rsidR="000D28AB" w:rsidRPr="0062220B">
        <w:rPr>
          <w:rStyle w:val="Heading4Char"/>
          <w:rFonts w:ascii="Times New Roman" w:hAnsi="Times New Roman" w:cs="Times New Roman"/>
          <w:b/>
          <w:i w:val="0"/>
          <w:color w:val="auto"/>
          <w:sz w:val="24"/>
          <w:szCs w:val="24"/>
        </w:rPr>
        <w:t xml:space="preserve"> for </w:t>
      </w:r>
      <w:r w:rsidR="00617B12" w:rsidRPr="0062220B">
        <w:rPr>
          <w:rStyle w:val="Heading4Char"/>
          <w:rFonts w:ascii="Times New Roman" w:hAnsi="Times New Roman" w:cs="Times New Roman"/>
          <w:b/>
          <w:i w:val="0"/>
          <w:color w:val="auto"/>
          <w:sz w:val="24"/>
          <w:szCs w:val="24"/>
        </w:rPr>
        <w:t>Clients,</w:t>
      </w:r>
      <w:r w:rsidR="00FB5EC5" w:rsidRPr="0062220B">
        <w:rPr>
          <w:rStyle w:val="Heading4Char"/>
          <w:rFonts w:ascii="Times New Roman" w:hAnsi="Times New Roman" w:cs="Times New Roman"/>
          <w:b/>
          <w:i w:val="0"/>
          <w:color w:val="auto"/>
          <w:sz w:val="24"/>
          <w:szCs w:val="24"/>
        </w:rPr>
        <w:t xml:space="preserve"> </w:t>
      </w:r>
      <w:r w:rsidR="0028301D" w:rsidRPr="0062220B">
        <w:rPr>
          <w:rStyle w:val="Heading4Char"/>
          <w:rFonts w:ascii="Times New Roman" w:hAnsi="Times New Roman" w:cs="Times New Roman"/>
          <w:b/>
          <w:i w:val="0"/>
          <w:color w:val="auto"/>
          <w:sz w:val="24"/>
          <w:szCs w:val="24"/>
        </w:rPr>
        <w:t>FII Sub – accounts</w:t>
      </w:r>
      <w:r w:rsidR="00FB5EC5" w:rsidRPr="0062220B">
        <w:rPr>
          <w:rStyle w:val="Heading4Char"/>
          <w:rFonts w:ascii="Times New Roman" w:hAnsi="Times New Roman" w:cs="Times New Roman"/>
          <w:b/>
          <w:i w:val="0"/>
          <w:color w:val="auto"/>
          <w:sz w:val="24"/>
          <w:szCs w:val="24"/>
        </w:rPr>
        <w:t>/FPI category III</w:t>
      </w:r>
      <w:r w:rsidR="0028301D" w:rsidRPr="0062220B">
        <w:rPr>
          <w:rStyle w:val="Heading4Char"/>
          <w:rFonts w:ascii="Times New Roman" w:hAnsi="Times New Roman" w:cs="Times New Roman"/>
          <w:b/>
          <w:i w:val="0"/>
          <w:color w:val="auto"/>
          <w:sz w:val="24"/>
          <w:szCs w:val="24"/>
        </w:rPr>
        <w:t>, S</w:t>
      </w:r>
      <w:r w:rsidR="000D28AB" w:rsidRPr="0062220B">
        <w:rPr>
          <w:rStyle w:val="Heading4Char"/>
          <w:rFonts w:ascii="Times New Roman" w:hAnsi="Times New Roman" w:cs="Times New Roman"/>
          <w:b/>
          <w:i w:val="0"/>
          <w:color w:val="auto"/>
          <w:sz w:val="24"/>
          <w:szCs w:val="24"/>
        </w:rPr>
        <w:t>chemes of Mutual Funds</w:t>
      </w:r>
      <w:r w:rsidR="000D28AB" w:rsidRPr="0062220B">
        <w:rPr>
          <w:rFonts w:ascii="Times New Roman" w:hAnsi="Times New Roman" w:cs="Times New Roman"/>
          <w:i/>
          <w:color w:val="auto"/>
          <w:sz w:val="24"/>
          <w:szCs w:val="24"/>
        </w:rPr>
        <w:t xml:space="preserve"> </w:t>
      </w:r>
      <w:r w:rsidR="0028301D" w:rsidRPr="0062220B">
        <w:rPr>
          <w:rFonts w:ascii="Times New Roman" w:hAnsi="Times New Roman" w:cs="Times New Roman"/>
          <w:i/>
          <w:color w:val="auto"/>
          <w:sz w:val="24"/>
          <w:szCs w:val="24"/>
        </w:rPr>
        <w:t>and NRI</w:t>
      </w:r>
    </w:p>
    <w:p w:rsidR="000D28AB" w:rsidRPr="0062220B" w:rsidRDefault="000D28AB" w:rsidP="00DE28E3">
      <w:pPr>
        <w:pStyle w:val="Default"/>
        <w:spacing w:line="276" w:lineRule="auto"/>
        <w:jc w:val="both"/>
        <w:rPr>
          <w:color w:val="auto"/>
        </w:rPr>
      </w:pPr>
    </w:p>
    <w:p w:rsidR="000D28AB" w:rsidRPr="0062220B" w:rsidRDefault="000D28AB" w:rsidP="00DE28E3">
      <w:pPr>
        <w:pStyle w:val="Default"/>
        <w:spacing w:line="276" w:lineRule="auto"/>
        <w:jc w:val="both"/>
        <w:rPr>
          <w:color w:val="auto"/>
        </w:rPr>
      </w:pPr>
      <w:r w:rsidRPr="0062220B">
        <w:rPr>
          <w:b/>
          <w:bCs/>
          <w:color w:val="auto"/>
        </w:rPr>
        <w:t>1.</w:t>
      </w:r>
      <w:r w:rsidR="00AB200A" w:rsidRPr="0062220B">
        <w:rPr>
          <w:b/>
          <w:bCs/>
          <w:color w:val="auto"/>
        </w:rPr>
        <w:t>5</w:t>
      </w:r>
      <w:r w:rsidRPr="0062220B">
        <w:rPr>
          <w:b/>
          <w:bCs/>
          <w:color w:val="auto"/>
        </w:rPr>
        <w:t>.</w:t>
      </w:r>
      <w:r w:rsidR="00634AC4" w:rsidRPr="0062220B">
        <w:rPr>
          <w:b/>
          <w:bCs/>
          <w:color w:val="auto"/>
        </w:rPr>
        <w:t>2</w:t>
      </w:r>
      <w:r w:rsidR="00AB200A" w:rsidRPr="0062220B">
        <w:rPr>
          <w:b/>
          <w:bCs/>
          <w:color w:val="auto"/>
        </w:rPr>
        <w:t>.1</w:t>
      </w:r>
      <w:r w:rsidRPr="0062220B">
        <w:rPr>
          <w:b/>
          <w:bCs/>
          <w:color w:val="auto"/>
        </w:rPr>
        <w:t xml:space="preserve"> Index Futures and Options </w:t>
      </w:r>
    </w:p>
    <w:p w:rsidR="0018717C" w:rsidRPr="0062220B" w:rsidRDefault="0018717C" w:rsidP="00DE28E3">
      <w:pPr>
        <w:pStyle w:val="Default"/>
        <w:spacing w:line="276" w:lineRule="auto"/>
        <w:jc w:val="both"/>
        <w:rPr>
          <w:b/>
          <w:bCs/>
          <w:color w:val="auto"/>
          <w:sz w:val="22"/>
          <w:szCs w:val="22"/>
        </w:rPr>
      </w:pPr>
    </w:p>
    <w:p w:rsidR="00FB5EC5" w:rsidRDefault="00FB5EC5" w:rsidP="00DE28E3">
      <w:pPr>
        <w:pStyle w:val="Default"/>
        <w:spacing w:line="276" w:lineRule="auto"/>
        <w:ind w:left="426"/>
        <w:jc w:val="both"/>
        <w:rPr>
          <w:color w:val="auto"/>
          <w:sz w:val="22"/>
          <w:szCs w:val="22"/>
        </w:rPr>
      </w:pPr>
      <w:r w:rsidRPr="0062220B">
        <w:rPr>
          <w:color w:val="auto"/>
          <w:sz w:val="22"/>
          <w:szCs w:val="22"/>
        </w:rPr>
        <w:t xml:space="preserve">Any person or persons acting in concert who together own 15% or more of the open interest on a particular underlying index is required to report this fact to the Exchange/ Clearing Corporation. Failure to do so shall be treated as a violation and shall attract appropriate penal and disciplinary action in accordance with the Rules, Byelaws and Regulations of the </w:t>
      </w:r>
      <w:r w:rsidR="00FF72C0" w:rsidRPr="0062220B">
        <w:rPr>
          <w:color w:val="auto"/>
          <w:sz w:val="22"/>
          <w:szCs w:val="22"/>
        </w:rPr>
        <w:t>Exchange / Clearing Corporation</w:t>
      </w:r>
      <w:r w:rsidR="00F25068">
        <w:rPr>
          <w:color w:val="auto"/>
          <w:sz w:val="22"/>
          <w:szCs w:val="22"/>
        </w:rPr>
        <w:t>.</w:t>
      </w:r>
    </w:p>
    <w:p w:rsidR="00F25068" w:rsidRDefault="00F25068" w:rsidP="00DE28E3">
      <w:pPr>
        <w:pStyle w:val="Default"/>
        <w:spacing w:line="276" w:lineRule="auto"/>
        <w:ind w:left="426"/>
        <w:jc w:val="both"/>
        <w:rPr>
          <w:color w:val="auto"/>
          <w:sz w:val="22"/>
          <w:szCs w:val="22"/>
        </w:rPr>
      </w:pPr>
    </w:p>
    <w:p w:rsidR="00F25068" w:rsidRDefault="00F25068" w:rsidP="00DE28E3">
      <w:pPr>
        <w:pStyle w:val="Default"/>
        <w:spacing w:line="276" w:lineRule="auto"/>
        <w:ind w:left="426"/>
        <w:jc w:val="both"/>
        <w:rPr>
          <w:color w:val="auto"/>
          <w:sz w:val="22"/>
          <w:szCs w:val="22"/>
        </w:rPr>
      </w:pPr>
    </w:p>
    <w:p w:rsidR="00F25068" w:rsidRDefault="00573B40" w:rsidP="00F25068">
      <w:pPr>
        <w:pStyle w:val="Default"/>
        <w:spacing w:line="276" w:lineRule="auto"/>
        <w:jc w:val="right"/>
        <w:rPr>
          <w:rStyle w:val="Hyperlink"/>
          <w:color w:val="FF0000"/>
          <w:sz w:val="16"/>
          <w:szCs w:val="16"/>
        </w:rPr>
      </w:pPr>
      <w:hyperlink w:anchor="_top" w:history="1">
        <w:r w:rsidR="00F25068" w:rsidRPr="00644EFC">
          <w:rPr>
            <w:rStyle w:val="Hyperlink"/>
            <w:color w:val="FF0000"/>
            <w:sz w:val="16"/>
            <w:szCs w:val="16"/>
          </w:rPr>
          <w:t>Go Top</w:t>
        </w:r>
      </w:hyperlink>
    </w:p>
    <w:p w:rsidR="007341D1" w:rsidRPr="00F25068" w:rsidRDefault="007341D1" w:rsidP="00F25068">
      <w:pPr>
        <w:pStyle w:val="Default"/>
        <w:spacing w:line="276" w:lineRule="auto"/>
        <w:jc w:val="right"/>
        <w:rPr>
          <w:color w:val="FF0000"/>
          <w:sz w:val="16"/>
          <w:szCs w:val="16"/>
          <w:u w:val="single"/>
        </w:rPr>
      </w:pPr>
    </w:p>
    <w:p w:rsidR="0067645B" w:rsidRPr="0062220B" w:rsidRDefault="0067645B" w:rsidP="00DE28E3">
      <w:pPr>
        <w:pStyle w:val="Heading2"/>
        <w:rPr>
          <w:rStyle w:val="Heading1Char"/>
          <w:rFonts w:ascii="Times New Roman" w:hAnsi="Times New Roman" w:cs="Times New Roman"/>
          <w:b/>
          <w:color w:val="auto"/>
          <w:sz w:val="24"/>
          <w:szCs w:val="24"/>
        </w:rPr>
      </w:pPr>
      <w:bookmarkStart w:id="10" w:name="_1.6_Monitoring_of"/>
      <w:bookmarkEnd w:id="10"/>
      <w:r w:rsidRPr="0018167A">
        <w:rPr>
          <w:rFonts w:ascii="Times New Roman" w:hAnsi="Times New Roman" w:cs="Times New Roman"/>
          <w:color w:val="auto"/>
          <w:sz w:val="24"/>
          <w:szCs w:val="24"/>
        </w:rPr>
        <w:t>1.</w:t>
      </w:r>
      <w:r w:rsidR="00AB200A" w:rsidRPr="0018167A">
        <w:rPr>
          <w:rFonts w:ascii="Times New Roman" w:hAnsi="Times New Roman" w:cs="Times New Roman"/>
          <w:color w:val="auto"/>
          <w:sz w:val="24"/>
          <w:szCs w:val="24"/>
        </w:rPr>
        <w:t>6</w:t>
      </w:r>
      <w:r w:rsidRPr="0062220B">
        <w:rPr>
          <w:rFonts w:ascii="Times New Roman" w:hAnsi="Times New Roman" w:cs="Times New Roman"/>
          <w:b w:val="0"/>
          <w:color w:val="auto"/>
          <w:sz w:val="24"/>
          <w:szCs w:val="24"/>
        </w:rPr>
        <w:t xml:space="preserve"> </w:t>
      </w:r>
      <w:r w:rsidRPr="0062220B">
        <w:rPr>
          <w:rStyle w:val="Heading1Char"/>
          <w:rFonts w:ascii="Times New Roman" w:hAnsi="Times New Roman" w:cs="Times New Roman"/>
          <w:b/>
          <w:color w:val="auto"/>
          <w:sz w:val="24"/>
          <w:szCs w:val="24"/>
        </w:rPr>
        <w:t xml:space="preserve">Monitoring </w:t>
      </w:r>
      <w:r w:rsidR="0096538E" w:rsidRPr="0062220B">
        <w:rPr>
          <w:rStyle w:val="Heading1Char"/>
          <w:rFonts w:ascii="Times New Roman" w:hAnsi="Times New Roman" w:cs="Times New Roman"/>
          <w:b/>
          <w:color w:val="auto"/>
          <w:sz w:val="24"/>
          <w:szCs w:val="24"/>
        </w:rPr>
        <w:t>of Positions based on Unique Client Codes</w:t>
      </w:r>
    </w:p>
    <w:p w:rsidR="0096538E" w:rsidRPr="00644EFC" w:rsidRDefault="0096538E" w:rsidP="00DE28E3">
      <w:pPr>
        <w:pStyle w:val="Default"/>
        <w:spacing w:line="276" w:lineRule="auto"/>
        <w:jc w:val="both"/>
        <w:rPr>
          <w:color w:val="auto"/>
          <w:sz w:val="23"/>
          <w:szCs w:val="23"/>
        </w:rPr>
      </w:pPr>
    </w:p>
    <w:p w:rsidR="0067645B" w:rsidRPr="0062220B" w:rsidRDefault="0067645B" w:rsidP="00DE28E3">
      <w:pPr>
        <w:pStyle w:val="Default"/>
        <w:spacing w:line="276" w:lineRule="auto"/>
        <w:ind w:left="426"/>
        <w:jc w:val="both"/>
        <w:rPr>
          <w:color w:val="auto"/>
          <w:sz w:val="22"/>
          <w:szCs w:val="22"/>
        </w:rPr>
      </w:pPr>
      <w:r w:rsidRPr="0062220B">
        <w:rPr>
          <w:color w:val="auto"/>
          <w:sz w:val="22"/>
          <w:szCs w:val="22"/>
        </w:rPr>
        <w:t xml:space="preserve">The client level positions limits shall be monitored at the unique client code level based on the client details uploaded by the member to the Exchange. The client level position limits shall be applicable on the combined positions for the same clients trading through different members, as well. </w:t>
      </w:r>
    </w:p>
    <w:p w:rsidR="0067645B" w:rsidRPr="0062220B" w:rsidRDefault="0067645B" w:rsidP="00DE28E3">
      <w:pPr>
        <w:pStyle w:val="Default"/>
        <w:spacing w:line="276" w:lineRule="auto"/>
        <w:ind w:left="426"/>
        <w:jc w:val="both"/>
        <w:rPr>
          <w:color w:val="auto"/>
          <w:sz w:val="22"/>
          <w:szCs w:val="22"/>
        </w:rPr>
      </w:pPr>
      <w:r w:rsidRPr="0062220B">
        <w:rPr>
          <w:color w:val="auto"/>
          <w:sz w:val="22"/>
          <w:szCs w:val="22"/>
        </w:rPr>
        <w:t xml:space="preserve">In all the above cases, members shall ensure that client-level position limits are kept within the permissible limits. In the event of a violation, the trading member/ clearing member shall be required to ensure that – </w:t>
      </w:r>
    </w:p>
    <w:p w:rsidR="0067645B" w:rsidRPr="0062220B" w:rsidRDefault="00617B12" w:rsidP="00DE28E3">
      <w:pPr>
        <w:pStyle w:val="Default"/>
        <w:numPr>
          <w:ilvl w:val="1"/>
          <w:numId w:val="36"/>
        </w:numPr>
        <w:spacing w:after="27" w:line="276" w:lineRule="auto"/>
        <w:jc w:val="both"/>
        <w:rPr>
          <w:color w:val="auto"/>
          <w:sz w:val="22"/>
          <w:szCs w:val="22"/>
        </w:rPr>
      </w:pPr>
      <w:r w:rsidRPr="0062220B">
        <w:rPr>
          <w:color w:val="auto"/>
          <w:sz w:val="22"/>
          <w:szCs w:val="22"/>
        </w:rPr>
        <w:t>T</w:t>
      </w:r>
      <w:r w:rsidR="0067645B" w:rsidRPr="0062220B">
        <w:rPr>
          <w:color w:val="auto"/>
          <w:sz w:val="22"/>
          <w:szCs w:val="22"/>
        </w:rPr>
        <w:t xml:space="preserve">he client does not take fresh positions and </w:t>
      </w:r>
    </w:p>
    <w:p w:rsidR="0067645B" w:rsidRPr="0062220B" w:rsidRDefault="00617B12" w:rsidP="00DE28E3">
      <w:pPr>
        <w:pStyle w:val="Default"/>
        <w:numPr>
          <w:ilvl w:val="1"/>
          <w:numId w:val="36"/>
        </w:numPr>
        <w:spacing w:line="276" w:lineRule="auto"/>
        <w:jc w:val="both"/>
        <w:rPr>
          <w:color w:val="auto"/>
          <w:sz w:val="22"/>
          <w:szCs w:val="22"/>
        </w:rPr>
      </w:pPr>
      <w:r w:rsidRPr="0062220B">
        <w:rPr>
          <w:color w:val="auto"/>
          <w:sz w:val="22"/>
          <w:szCs w:val="22"/>
        </w:rPr>
        <w:t>The</w:t>
      </w:r>
      <w:r w:rsidR="0067645B" w:rsidRPr="0062220B">
        <w:rPr>
          <w:color w:val="auto"/>
          <w:sz w:val="22"/>
          <w:szCs w:val="22"/>
        </w:rPr>
        <w:t xml:space="preserve"> position of such clients are reduced so as to be within permissible limits. </w:t>
      </w:r>
    </w:p>
    <w:p w:rsidR="0067645B" w:rsidRPr="0062220B" w:rsidRDefault="0067645B" w:rsidP="00DE28E3">
      <w:pPr>
        <w:pStyle w:val="Default"/>
        <w:spacing w:line="276" w:lineRule="auto"/>
        <w:ind w:left="426"/>
        <w:jc w:val="both"/>
        <w:rPr>
          <w:color w:val="auto"/>
          <w:sz w:val="22"/>
          <w:szCs w:val="22"/>
        </w:rPr>
      </w:pPr>
    </w:p>
    <w:p w:rsidR="0067645B" w:rsidRPr="0062220B" w:rsidRDefault="0067645B" w:rsidP="00DE28E3">
      <w:pPr>
        <w:pStyle w:val="Default"/>
        <w:spacing w:line="276" w:lineRule="auto"/>
        <w:ind w:left="426"/>
        <w:jc w:val="both"/>
        <w:rPr>
          <w:b/>
          <w:bCs/>
          <w:color w:val="auto"/>
          <w:sz w:val="22"/>
          <w:szCs w:val="22"/>
        </w:rPr>
      </w:pPr>
      <w:r w:rsidRPr="0062220B">
        <w:rPr>
          <w:color w:val="auto"/>
          <w:sz w:val="22"/>
          <w:szCs w:val="22"/>
        </w:rPr>
        <w:t xml:space="preserve">Violation of such limits shall attract action as specified in </w:t>
      </w:r>
      <w:hyperlink w:anchor="_1.3_Position_Limits" w:history="1">
        <w:r w:rsidR="00634AC4" w:rsidRPr="0062220B">
          <w:rPr>
            <w:rStyle w:val="Hyperlink"/>
            <w:b/>
            <w:bCs/>
            <w:sz w:val="22"/>
            <w:szCs w:val="22"/>
          </w:rPr>
          <w:t>Item 1.7</w:t>
        </w:r>
      </w:hyperlink>
    </w:p>
    <w:p w:rsidR="000D28AB" w:rsidRPr="0062220B" w:rsidRDefault="000D28AB" w:rsidP="00DE28E3">
      <w:pPr>
        <w:pStyle w:val="Default"/>
        <w:spacing w:line="276" w:lineRule="auto"/>
        <w:ind w:left="426"/>
        <w:jc w:val="both"/>
        <w:rPr>
          <w:b/>
          <w:bCs/>
          <w:color w:val="auto"/>
          <w:sz w:val="22"/>
          <w:szCs w:val="22"/>
        </w:rPr>
      </w:pPr>
    </w:p>
    <w:p w:rsidR="000246FE" w:rsidRDefault="000D28AB" w:rsidP="000246FE">
      <w:pPr>
        <w:pStyle w:val="Default"/>
        <w:spacing w:line="276" w:lineRule="auto"/>
        <w:ind w:left="426"/>
        <w:rPr>
          <w:rStyle w:val="Hyperlink"/>
          <w:color w:val="FF0000"/>
          <w:sz w:val="16"/>
          <w:szCs w:val="16"/>
        </w:rPr>
      </w:pPr>
      <w:r w:rsidRPr="0062220B">
        <w:rPr>
          <w:color w:val="auto"/>
          <w:sz w:val="22"/>
          <w:szCs w:val="22"/>
        </w:rPr>
        <w:t>These position limits shall be applicable on the combined position in all futures and options contracts on an underlying security.</w:t>
      </w:r>
      <w:r w:rsidR="000246FE">
        <w:rPr>
          <w:color w:val="auto"/>
          <w:sz w:val="22"/>
          <w:szCs w:val="22"/>
        </w:rPr>
        <w:tab/>
      </w:r>
      <w:r w:rsidR="000246FE">
        <w:rPr>
          <w:color w:val="auto"/>
          <w:sz w:val="22"/>
          <w:szCs w:val="22"/>
        </w:rPr>
        <w:tab/>
      </w:r>
      <w:r w:rsidR="000246FE">
        <w:rPr>
          <w:color w:val="auto"/>
          <w:sz w:val="22"/>
          <w:szCs w:val="22"/>
        </w:rPr>
        <w:tab/>
      </w:r>
      <w:r w:rsidR="000246FE">
        <w:rPr>
          <w:color w:val="auto"/>
          <w:sz w:val="22"/>
          <w:szCs w:val="22"/>
        </w:rPr>
        <w:tab/>
      </w:r>
      <w:r w:rsidR="000246FE">
        <w:rPr>
          <w:color w:val="auto"/>
          <w:sz w:val="22"/>
          <w:szCs w:val="22"/>
        </w:rPr>
        <w:tab/>
      </w:r>
      <w:r w:rsidR="000246FE">
        <w:rPr>
          <w:color w:val="auto"/>
          <w:sz w:val="22"/>
          <w:szCs w:val="22"/>
        </w:rPr>
        <w:tab/>
      </w:r>
      <w:r w:rsidR="000246FE">
        <w:rPr>
          <w:color w:val="auto"/>
          <w:sz w:val="22"/>
          <w:szCs w:val="22"/>
        </w:rPr>
        <w:tab/>
      </w:r>
      <w:r w:rsidR="000246FE">
        <w:rPr>
          <w:color w:val="auto"/>
          <w:sz w:val="22"/>
          <w:szCs w:val="22"/>
        </w:rPr>
        <w:tab/>
      </w:r>
      <w:hyperlink w:anchor="_top" w:history="1">
        <w:r w:rsidR="000246FE" w:rsidRPr="00644EFC">
          <w:rPr>
            <w:rStyle w:val="Hyperlink"/>
            <w:color w:val="FF0000"/>
            <w:sz w:val="16"/>
            <w:szCs w:val="16"/>
          </w:rPr>
          <w:t>Go Top</w:t>
        </w:r>
      </w:hyperlink>
    </w:p>
    <w:p w:rsidR="00C072A0" w:rsidRPr="00644EFC" w:rsidRDefault="00C072A0" w:rsidP="0062220B">
      <w:pPr>
        <w:pStyle w:val="Default"/>
        <w:spacing w:line="276" w:lineRule="auto"/>
        <w:ind w:left="426"/>
        <w:jc w:val="both"/>
        <w:rPr>
          <w:rStyle w:val="Hyperlink"/>
          <w:color w:val="FF0000"/>
          <w:sz w:val="16"/>
          <w:szCs w:val="16"/>
        </w:rPr>
      </w:pPr>
    </w:p>
    <w:p w:rsidR="00CD213D" w:rsidRPr="0062220B" w:rsidRDefault="00617B12" w:rsidP="00DE28E3">
      <w:pPr>
        <w:pStyle w:val="Heading1"/>
        <w:jc w:val="both"/>
        <w:rPr>
          <w:rFonts w:ascii="Times New Roman" w:hAnsi="Times New Roman" w:cs="Times New Roman"/>
          <w:color w:val="auto"/>
          <w:sz w:val="24"/>
          <w:szCs w:val="24"/>
        </w:rPr>
      </w:pPr>
      <w:bookmarkStart w:id="11" w:name="_1.3_Position_Limits"/>
      <w:bookmarkStart w:id="12" w:name="_1.4_Limits_for"/>
      <w:bookmarkStart w:id="13" w:name="_1.6__Market"/>
      <w:bookmarkStart w:id="14" w:name="_1.7__Market"/>
      <w:bookmarkEnd w:id="11"/>
      <w:bookmarkEnd w:id="12"/>
      <w:bookmarkEnd w:id="13"/>
      <w:bookmarkEnd w:id="14"/>
      <w:r w:rsidRPr="0062220B">
        <w:rPr>
          <w:rFonts w:ascii="Times New Roman" w:hAnsi="Times New Roman" w:cs="Times New Roman"/>
          <w:color w:val="auto"/>
          <w:sz w:val="24"/>
          <w:szCs w:val="24"/>
        </w:rPr>
        <w:t>1.7 Market</w:t>
      </w:r>
      <w:r w:rsidR="00CD213D" w:rsidRPr="0062220B">
        <w:rPr>
          <w:rStyle w:val="Heading6Char"/>
          <w:rFonts w:ascii="Times New Roman" w:hAnsi="Times New Roman" w:cs="Times New Roman"/>
          <w:i w:val="0"/>
          <w:iCs w:val="0"/>
          <w:color w:val="auto"/>
          <w:sz w:val="24"/>
          <w:szCs w:val="24"/>
        </w:rPr>
        <w:t xml:space="preserve"> wide Position Limit violation</w:t>
      </w:r>
      <w:r w:rsidR="00CD213D" w:rsidRPr="0062220B">
        <w:rPr>
          <w:rFonts w:ascii="Times New Roman" w:hAnsi="Times New Roman" w:cs="Times New Roman"/>
          <w:color w:val="auto"/>
          <w:sz w:val="24"/>
          <w:szCs w:val="24"/>
        </w:rPr>
        <w:t xml:space="preserve"> </w:t>
      </w:r>
    </w:p>
    <w:p w:rsidR="009516F7" w:rsidRPr="00644EFC" w:rsidRDefault="009516F7" w:rsidP="00DE28E3">
      <w:pPr>
        <w:pStyle w:val="Default"/>
        <w:spacing w:line="276" w:lineRule="auto"/>
        <w:jc w:val="both"/>
        <w:rPr>
          <w:color w:val="auto"/>
          <w:sz w:val="23"/>
          <w:szCs w:val="23"/>
        </w:rPr>
      </w:pPr>
    </w:p>
    <w:p w:rsidR="00CD213D" w:rsidRPr="0062220B" w:rsidRDefault="00CD213D" w:rsidP="00DE28E3">
      <w:pPr>
        <w:pStyle w:val="Default"/>
        <w:numPr>
          <w:ilvl w:val="0"/>
          <w:numId w:val="25"/>
        </w:numPr>
        <w:spacing w:after="27" w:line="276" w:lineRule="auto"/>
        <w:jc w:val="both"/>
        <w:rPr>
          <w:color w:val="auto"/>
          <w:sz w:val="22"/>
          <w:szCs w:val="22"/>
        </w:rPr>
      </w:pPr>
      <w:r w:rsidRPr="0062220B">
        <w:rPr>
          <w:color w:val="auto"/>
          <w:sz w:val="22"/>
          <w:szCs w:val="22"/>
        </w:rPr>
        <w:t xml:space="preserve">At the end of each day the </w:t>
      </w:r>
      <w:r w:rsidR="009516F7" w:rsidRPr="0062220B">
        <w:rPr>
          <w:color w:val="auto"/>
          <w:sz w:val="22"/>
          <w:szCs w:val="22"/>
        </w:rPr>
        <w:t xml:space="preserve">Exchange </w:t>
      </w:r>
      <w:r w:rsidRPr="0062220B">
        <w:rPr>
          <w:color w:val="auto"/>
          <w:sz w:val="22"/>
          <w:szCs w:val="22"/>
        </w:rPr>
        <w:t xml:space="preserve">shall test whether the market wide open interest across Exchanges for any security exceeds 95% of the market wide position limit for that security. If so, the open position of all client/ trading members as at the end of that day in that security shall be taken, and from next day onwards the client/ trading members shall </w:t>
      </w:r>
      <w:r w:rsidRPr="0062220B">
        <w:rPr>
          <w:color w:val="auto"/>
          <w:sz w:val="22"/>
          <w:szCs w:val="22"/>
        </w:rPr>
        <w:lastRenderedPageBreak/>
        <w:t xml:space="preserve">trade only to decrease their positions through offsetting positions till the normal trading in the security is resumed. </w:t>
      </w:r>
    </w:p>
    <w:p w:rsidR="009516F7" w:rsidRPr="0062220B" w:rsidRDefault="009516F7" w:rsidP="00DE28E3">
      <w:pPr>
        <w:pStyle w:val="Default"/>
        <w:spacing w:after="27" w:line="276" w:lineRule="auto"/>
        <w:ind w:left="567"/>
        <w:jc w:val="both"/>
        <w:rPr>
          <w:color w:val="auto"/>
          <w:sz w:val="22"/>
          <w:szCs w:val="22"/>
        </w:rPr>
      </w:pPr>
    </w:p>
    <w:p w:rsidR="00CD213D" w:rsidRPr="0062220B" w:rsidRDefault="00CD213D" w:rsidP="00DE28E3">
      <w:pPr>
        <w:pStyle w:val="Default"/>
        <w:numPr>
          <w:ilvl w:val="0"/>
          <w:numId w:val="25"/>
        </w:numPr>
        <w:spacing w:after="27" w:line="276" w:lineRule="auto"/>
        <w:jc w:val="both"/>
        <w:rPr>
          <w:color w:val="auto"/>
          <w:sz w:val="22"/>
          <w:szCs w:val="22"/>
        </w:rPr>
      </w:pPr>
      <w:r w:rsidRPr="0062220B">
        <w:rPr>
          <w:color w:val="auto"/>
          <w:sz w:val="22"/>
          <w:szCs w:val="22"/>
        </w:rPr>
        <w:t xml:space="preserve">The normal trading in the security shall be resumed only after the open outstanding position across Exchanges comes down to 80% or below of the market wide position limit </w:t>
      </w:r>
    </w:p>
    <w:p w:rsidR="009516F7" w:rsidRPr="0062220B" w:rsidRDefault="009516F7" w:rsidP="00DE28E3">
      <w:pPr>
        <w:pStyle w:val="Default"/>
        <w:spacing w:after="27" w:line="276" w:lineRule="auto"/>
        <w:ind w:left="567"/>
        <w:jc w:val="both"/>
        <w:rPr>
          <w:color w:val="auto"/>
          <w:sz w:val="22"/>
          <w:szCs w:val="22"/>
        </w:rPr>
      </w:pPr>
    </w:p>
    <w:p w:rsidR="00CD213D" w:rsidRPr="0062220B" w:rsidRDefault="00CD213D" w:rsidP="00DE28E3">
      <w:pPr>
        <w:pStyle w:val="Default"/>
        <w:numPr>
          <w:ilvl w:val="0"/>
          <w:numId w:val="25"/>
        </w:numPr>
        <w:spacing w:after="27" w:line="276" w:lineRule="auto"/>
        <w:jc w:val="both"/>
        <w:rPr>
          <w:color w:val="auto"/>
          <w:sz w:val="22"/>
          <w:szCs w:val="22"/>
        </w:rPr>
      </w:pPr>
      <w:r w:rsidRPr="0062220B">
        <w:rPr>
          <w:color w:val="auto"/>
          <w:sz w:val="22"/>
          <w:szCs w:val="22"/>
        </w:rPr>
        <w:t xml:space="preserve">The dissemination of market wide position limits shall be given at regular interval or such other duration as may be decided by the relevant authority from time to time. </w:t>
      </w:r>
    </w:p>
    <w:p w:rsidR="00C072A0" w:rsidRPr="0062220B" w:rsidRDefault="008A2342" w:rsidP="00DE28E3">
      <w:pPr>
        <w:pStyle w:val="Heading1"/>
        <w:jc w:val="both"/>
        <w:rPr>
          <w:rFonts w:ascii="Times New Roman" w:hAnsi="Times New Roman" w:cs="Times New Roman"/>
          <w:color w:val="auto"/>
          <w:sz w:val="24"/>
          <w:szCs w:val="24"/>
        </w:rPr>
      </w:pPr>
      <w:r w:rsidRPr="0062220B">
        <w:rPr>
          <w:rFonts w:ascii="Times New Roman" w:hAnsi="Times New Roman" w:cs="Times New Roman"/>
          <w:color w:val="auto"/>
          <w:sz w:val="24"/>
          <w:szCs w:val="24"/>
        </w:rPr>
        <w:t>1</w:t>
      </w:r>
      <w:r w:rsidR="00C072A0" w:rsidRPr="0062220B">
        <w:rPr>
          <w:rFonts w:ascii="Times New Roman" w:hAnsi="Times New Roman" w:cs="Times New Roman"/>
          <w:color w:val="auto"/>
          <w:sz w:val="24"/>
          <w:szCs w:val="24"/>
        </w:rPr>
        <w:t>.</w:t>
      </w:r>
      <w:r w:rsidR="00AB200A" w:rsidRPr="0062220B">
        <w:rPr>
          <w:rFonts w:ascii="Times New Roman" w:hAnsi="Times New Roman" w:cs="Times New Roman"/>
          <w:color w:val="auto"/>
          <w:sz w:val="24"/>
          <w:szCs w:val="24"/>
        </w:rPr>
        <w:t>7</w:t>
      </w:r>
      <w:r w:rsidRPr="0062220B">
        <w:rPr>
          <w:rFonts w:ascii="Times New Roman" w:hAnsi="Times New Roman" w:cs="Times New Roman"/>
          <w:color w:val="auto"/>
          <w:sz w:val="24"/>
          <w:szCs w:val="24"/>
        </w:rPr>
        <w:t>.1</w:t>
      </w:r>
      <w:r w:rsidR="00C072A0" w:rsidRPr="0062220B">
        <w:rPr>
          <w:rFonts w:ascii="Times New Roman" w:hAnsi="Times New Roman" w:cs="Times New Roman"/>
          <w:color w:val="auto"/>
          <w:sz w:val="24"/>
          <w:szCs w:val="24"/>
        </w:rPr>
        <w:t xml:space="preserve"> Penalty and penal charges for limit violation </w:t>
      </w:r>
    </w:p>
    <w:p w:rsidR="007A60A2" w:rsidRPr="0062220B" w:rsidRDefault="007A60A2" w:rsidP="00DE28E3">
      <w:pPr>
        <w:pStyle w:val="Default"/>
        <w:spacing w:line="276" w:lineRule="auto"/>
        <w:ind w:left="426"/>
        <w:jc w:val="both"/>
        <w:rPr>
          <w:color w:val="auto"/>
          <w:sz w:val="22"/>
          <w:szCs w:val="22"/>
        </w:rPr>
      </w:pPr>
      <w:r w:rsidRPr="0062220B">
        <w:rPr>
          <w:color w:val="auto"/>
          <w:sz w:val="22"/>
          <w:szCs w:val="22"/>
        </w:rPr>
        <w:t>Penalty norm for violation of Market Wide Position Limit on individual securities–</w:t>
      </w:r>
    </w:p>
    <w:p w:rsidR="007A60A2" w:rsidRPr="0062220B" w:rsidRDefault="007A60A2" w:rsidP="00DE28E3">
      <w:pPr>
        <w:pStyle w:val="Default"/>
        <w:spacing w:line="276" w:lineRule="auto"/>
        <w:ind w:left="426"/>
        <w:jc w:val="both"/>
        <w:rPr>
          <w:color w:val="auto"/>
          <w:sz w:val="22"/>
          <w:szCs w:val="22"/>
        </w:rPr>
      </w:pPr>
      <w:r w:rsidRPr="0062220B">
        <w:rPr>
          <w:color w:val="auto"/>
          <w:sz w:val="22"/>
          <w:szCs w:val="22"/>
        </w:rPr>
        <w:t> 1% of the value of increased position subject to a minimum of Rs. 5,000 and a maximum of Rs. 1</w:t>
      </w:r>
      <w:r w:rsidR="00617B12" w:rsidRPr="0062220B">
        <w:rPr>
          <w:color w:val="auto"/>
          <w:sz w:val="22"/>
          <w:szCs w:val="22"/>
        </w:rPr>
        <w:t>, 00,000</w:t>
      </w:r>
      <w:r w:rsidRPr="0062220B">
        <w:rPr>
          <w:color w:val="auto"/>
          <w:sz w:val="22"/>
          <w:szCs w:val="22"/>
        </w:rPr>
        <w:t>.</w:t>
      </w:r>
      <w:r w:rsidR="00634AC4" w:rsidRPr="0062220B">
        <w:rPr>
          <w:color w:val="auto"/>
          <w:sz w:val="22"/>
          <w:szCs w:val="22"/>
        </w:rPr>
        <w:t xml:space="preserve"> </w:t>
      </w:r>
    </w:p>
    <w:p w:rsidR="00634AC4" w:rsidRPr="0062220B" w:rsidRDefault="00634AC4" w:rsidP="00DE28E3">
      <w:pPr>
        <w:pStyle w:val="Default"/>
        <w:spacing w:line="276" w:lineRule="auto"/>
        <w:ind w:left="426"/>
        <w:jc w:val="both"/>
        <w:rPr>
          <w:color w:val="auto"/>
        </w:rPr>
      </w:pPr>
    </w:p>
    <w:p w:rsidR="00C072A0" w:rsidRPr="00DF277B" w:rsidRDefault="00573B40" w:rsidP="00DE28E3">
      <w:pPr>
        <w:pStyle w:val="Default"/>
        <w:spacing w:line="276" w:lineRule="auto"/>
        <w:ind w:left="426"/>
        <w:jc w:val="both"/>
        <w:rPr>
          <w:rStyle w:val="Hyperlink"/>
          <w:sz w:val="23"/>
          <w:szCs w:val="23"/>
        </w:rPr>
      </w:pPr>
      <w:hyperlink r:id="rId9" w:history="1">
        <w:r w:rsidR="00DF277B" w:rsidRPr="00DF277B">
          <w:rPr>
            <w:rStyle w:val="Hyperlink"/>
            <w:b/>
            <w:bCs/>
            <w:sz w:val="23"/>
            <w:szCs w:val="23"/>
          </w:rPr>
          <w:t>Violation of SEBI prescribed Market Wide Position Limit for futures and options on individual securities.</w:t>
        </w:r>
      </w:hyperlink>
    </w:p>
    <w:p w:rsidR="000C3204" w:rsidRPr="0062220B" w:rsidRDefault="000C3204" w:rsidP="00DE28E3">
      <w:pPr>
        <w:pStyle w:val="Heading2"/>
        <w:ind w:left="426"/>
        <w:jc w:val="both"/>
        <w:rPr>
          <w:rFonts w:ascii="Times New Roman" w:hAnsi="Times New Roman" w:cs="Times New Roman"/>
          <w:color w:val="auto"/>
          <w:sz w:val="24"/>
          <w:szCs w:val="24"/>
        </w:rPr>
      </w:pPr>
      <w:r w:rsidRPr="0062220B">
        <w:rPr>
          <w:rFonts w:ascii="Times New Roman" w:hAnsi="Times New Roman" w:cs="Times New Roman"/>
          <w:color w:val="auto"/>
          <w:sz w:val="24"/>
          <w:szCs w:val="24"/>
        </w:rPr>
        <w:t>Penalty norm for violation of Market Wide Position Limit</w:t>
      </w:r>
    </w:p>
    <w:p w:rsidR="00D23216" w:rsidRPr="00DF277B" w:rsidRDefault="00573B40" w:rsidP="00DE28E3">
      <w:pPr>
        <w:pStyle w:val="Default"/>
        <w:spacing w:line="276" w:lineRule="auto"/>
        <w:ind w:left="426"/>
        <w:jc w:val="both"/>
        <w:rPr>
          <w:rStyle w:val="Hyperlink"/>
          <w:b/>
          <w:bCs/>
          <w:sz w:val="23"/>
          <w:szCs w:val="23"/>
        </w:rPr>
      </w:pPr>
      <w:hyperlink r:id="rId10" w:history="1">
        <w:r w:rsidR="00DF277B" w:rsidRPr="00DF277B">
          <w:rPr>
            <w:rStyle w:val="Hyperlink"/>
            <w:b/>
            <w:bCs/>
            <w:sz w:val="23"/>
            <w:szCs w:val="23"/>
          </w:rPr>
          <w:t>VOILATION OF SEBI PRESCRIBED MARKET WIDE POSITION LIMIT</w:t>
        </w:r>
      </w:hyperlink>
      <w:bookmarkStart w:id="15" w:name="_2.5_Dynamic_Circuit"/>
      <w:bookmarkEnd w:id="15"/>
    </w:p>
    <w:p w:rsidR="0018167A" w:rsidRDefault="0018167A" w:rsidP="00DE28E3">
      <w:pPr>
        <w:pStyle w:val="Default"/>
        <w:spacing w:line="276" w:lineRule="auto"/>
        <w:ind w:left="426"/>
        <w:jc w:val="both"/>
        <w:rPr>
          <w:rStyle w:val="Hyperlink"/>
          <w:color w:val="auto"/>
        </w:rPr>
      </w:pPr>
    </w:p>
    <w:p w:rsidR="00F25068" w:rsidRPr="00F25068" w:rsidRDefault="00573B40" w:rsidP="00F25068">
      <w:pPr>
        <w:pStyle w:val="Default"/>
        <w:spacing w:line="276" w:lineRule="auto"/>
        <w:jc w:val="right"/>
        <w:rPr>
          <w:rStyle w:val="Hyperlink"/>
          <w:color w:val="FF0000"/>
          <w:sz w:val="16"/>
          <w:szCs w:val="16"/>
        </w:rPr>
      </w:pPr>
      <w:hyperlink w:anchor="_top" w:history="1">
        <w:r w:rsidR="00F25068" w:rsidRPr="00644EFC">
          <w:rPr>
            <w:rStyle w:val="Hyperlink"/>
            <w:color w:val="FF0000"/>
            <w:sz w:val="16"/>
            <w:szCs w:val="16"/>
          </w:rPr>
          <w:t>Go Top</w:t>
        </w:r>
      </w:hyperlink>
    </w:p>
    <w:p w:rsidR="00C032A4" w:rsidRPr="0062220B" w:rsidRDefault="00D23216" w:rsidP="00DE28E3">
      <w:pPr>
        <w:pStyle w:val="Heading1"/>
        <w:jc w:val="both"/>
        <w:rPr>
          <w:rFonts w:ascii="Times New Roman" w:hAnsi="Times New Roman" w:cs="Times New Roman"/>
          <w:color w:val="auto"/>
          <w:sz w:val="24"/>
          <w:szCs w:val="24"/>
        </w:rPr>
      </w:pPr>
      <w:r w:rsidRPr="0062220B">
        <w:rPr>
          <w:rFonts w:ascii="Times New Roman" w:hAnsi="Times New Roman" w:cs="Times New Roman"/>
          <w:color w:val="auto"/>
          <w:sz w:val="24"/>
          <w:szCs w:val="24"/>
        </w:rPr>
        <w:t>MARKET PARAMETERS</w:t>
      </w:r>
      <w:bookmarkStart w:id="16" w:name="_2_Dynamic_Circuit"/>
      <w:bookmarkEnd w:id="16"/>
    </w:p>
    <w:p w:rsidR="00447947" w:rsidRPr="0018167A" w:rsidRDefault="00522B07" w:rsidP="0018167A">
      <w:pPr>
        <w:pStyle w:val="Heading1"/>
        <w:jc w:val="both"/>
        <w:rPr>
          <w:color w:val="auto"/>
          <w:sz w:val="24"/>
          <w:szCs w:val="24"/>
        </w:rPr>
      </w:pPr>
      <w:r w:rsidRPr="0018167A">
        <w:rPr>
          <w:color w:val="auto"/>
          <w:sz w:val="24"/>
          <w:szCs w:val="24"/>
        </w:rPr>
        <w:t>2</w:t>
      </w:r>
      <w:r w:rsidR="0018167A">
        <w:rPr>
          <w:color w:val="auto"/>
          <w:sz w:val="24"/>
          <w:szCs w:val="24"/>
        </w:rPr>
        <w:t xml:space="preserve">.1 </w:t>
      </w:r>
      <w:r w:rsidR="00447947" w:rsidRPr="0018167A">
        <w:rPr>
          <w:color w:val="auto"/>
          <w:sz w:val="24"/>
          <w:szCs w:val="24"/>
        </w:rPr>
        <w:t>Dynamic Circuit Filter</w:t>
      </w:r>
    </w:p>
    <w:p w:rsidR="00D23216" w:rsidRPr="0062220B" w:rsidRDefault="009F2C83" w:rsidP="00DE28E3">
      <w:pPr>
        <w:pStyle w:val="Default"/>
        <w:spacing w:line="276" w:lineRule="auto"/>
        <w:ind w:left="426"/>
        <w:jc w:val="both"/>
        <w:rPr>
          <w:color w:val="auto"/>
          <w:sz w:val="22"/>
          <w:szCs w:val="22"/>
        </w:rPr>
      </w:pPr>
      <w:r w:rsidRPr="0062220B">
        <w:rPr>
          <w:color w:val="auto"/>
          <w:sz w:val="22"/>
          <w:szCs w:val="22"/>
        </w:rPr>
        <w:t xml:space="preserve">Based on the movement of the underlying </w:t>
      </w:r>
      <w:r w:rsidR="00447947" w:rsidRPr="0062220B">
        <w:rPr>
          <w:color w:val="auto"/>
          <w:sz w:val="22"/>
          <w:szCs w:val="22"/>
        </w:rPr>
        <w:t>in either direction, the dynamic price bands may be relaxed during the day in co-ordination with the other Exchange.</w:t>
      </w:r>
    </w:p>
    <w:p w:rsidR="0018167A" w:rsidRPr="0062220B" w:rsidRDefault="0043424E" w:rsidP="00DE28E3">
      <w:pPr>
        <w:pStyle w:val="Default"/>
        <w:spacing w:line="276" w:lineRule="auto"/>
        <w:ind w:left="426"/>
        <w:jc w:val="both"/>
        <w:rPr>
          <w:color w:val="auto"/>
          <w:sz w:val="22"/>
          <w:szCs w:val="22"/>
        </w:rPr>
      </w:pPr>
      <w:r w:rsidRPr="0062220B">
        <w:rPr>
          <w:color w:val="auto"/>
          <w:sz w:val="22"/>
          <w:szCs w:val="22"/>
        </w:rPr>
        <w:t xml:space="preserve">Further, </w:t>
      </w:r>
      <w:r w:rsidR="00447947" w:rsidRPr="0062220B">
        <w:rPr>
          <w:color w:val="auto"/>
          <w:sz w:val="22"/>
          <w:szCs w:val="22"/>
        </w:rPr>
        <w:t>dynamic price band</w:t>
      </w:r>
      <w:r w:rsidRPr="0062220B">
        <w:rPr>
          <w:color w:val="auto"/>
          <w:sz w:val="22"/>
          <w:szCs w:val="22"/>
        </w:rPr>
        <w:t xml:space="preserve"> may also be relaxed by </w:t>
      </w:r>
      <w:r w:rsidR="00447947" w:rsidRPr="0062220B">
        <w:rPr>
          <w:color w:val="auto"/>
          <w:sz w:val="22"/>
          <w:szCs w:val="22"/>
        </w:rPr>
        <w:t>the Exchange</w:t>
      </w:r>
      <w:r w:rsidRPr="0062220B">
        <w:rPr>
          <w:color w:val="auto"/>
          <w:sz w:val="22"/>
          <w:szCs w:val="22"/>
        </w:rPr>
        <w:t xml:space="preserve"> </w:t>
      </w:r>
      <w:r w:rsidR="00CD7763" w:rsidRPr="0062220B">
        <w:rPr>
          <w:color w:val="auto"/>
          <w:sz w:val="22"/>
          <w:szCs w:val="22"/>
        </w:rPr>
        <w:t xml:space="preserve">if </w:t>
      </w:r>
      <w:r w:rsidRPr="0062220B">
        <w:rPr>
          <w:color w:val="auto"/>
          <w:sz w:val="22"/>
          <w:szCs w:val="22"/>
        </w:rPr>
        <w:t xml:space="preserve">a minimum of 10 trades executed with multiple UCC on both sides of the trade at or above 9.90% or more of the base price and in further multiples of 5% of the price movement </w:t>
      </w:r>
    </w:p>
    <w:p w:rsidR="00BB44C3" w:rsidRPr="00617B12" w:rsidRDefault="00573B40" w:rsidP="0018167A">
      <w:pPr>
        <w:pStyle w:val="Default"/>
        <w:spacing w:line="276" w:lineRule="auto"/>
        <w:ind w:left="426"/>
        <w:jc w:val="both"/>
        <w:rPr>
          <w:rFonts w:eastAsiaTheme="majorEastAsia"/>
          <w:b/>
          <w:bCs/>
          <w:sz w:val="28"/>
          <w:szCs w:val="28"/>
        </w:rPr>
      </w:pPr>
      <w:hyperlink r:id="rId11" w:history="1">
        <w:r w:rsidR="00DF277B">
          <w:rPr>
            <w:rStyle w:val="Hyperlink"/>
            <w:b/>
            <w:bCs/>
            <w:sz w:val="23"/>
            <w:szCs w:val="23"/>
          </w:rPr>
          <w:t>Revision in Dynamic circuit filter for Stocks Futures /Index Future</w:t>
        </w:r>
      </w:hyperlink>
      <w:bookmarkStart w:id="17" w:name="_3.1_Index_based"/>
      <w:bookmarkStart w:id="18" w:name="_3._Index_based"/>
      <w:bookmarkEnd w:id="17"/>
      <w:bookmarkEnd w:id="18"/>
    </w:p>
    <w:p w:rsidR="009A58A6" w:rsidRPr="0062220B" w:rsidRDefault="009A58A6" w:rsidP="00DE28E3">
      <w:pPr>
        <w:pStyle w:val="Heading1"/>
        <w:jc w:val="both"/>
        <w:rPr>
          <w:color w:val="auto"/>
          <w:sz w:val="24"/>
          <w:szCs w:val="24"/>
        </w:rPr>
      </w:pPr>
      <w:bookmarkStart w:id="19" w:name="_2.2_Introduction_of"/>
      <w:bookmarkEnd w:id="19"/>
      <w:r w:rsidRPr="0062220B">
        <w:rPr>
          <w:color w:val="auto"/>
          <w:sz w:val="24"/>
          <w:szCs w:val="24"/>
        </w:rPr>
        <w:t>2.</w:t>
      </w:r>
      <w:r w:rsidR="0018167A">
        <w:rPr>
          <w:color w:val="auto"/>
          <w:sz w:val="24"/>
          <w:szCs w:val="24"/>
        </w:rPr>
        <w:t xml:space="preserve">2 </w:t>
      </w:r>
      <w:r w:rsidRPr="0062220B">
        <w:rPr>
          <w:rFonts w:ascii="Times New Roman" w:hAnsi="Times New Roman" w:cs="Times New Roman"/>
          <w:color w:val="auto"/>
          <w:sz w:val="24"/>
          <w:szCs w:val="24"/>
        </w:rPr>
        <w:t>Introduction of Paired Option contracts in Equity Derivatives Segment</w:t>
      </w:r>
    </w:p>
    <w:p w:rsidR="009A58A6" w:rsidRPr="00874703" w:rsidRDefault="009A58A6" w:rsidP="00874703">
      <w:pPr>
        <w:pStyle w:val="Default"/>
        <w:spacing w:line="276" w:lineRule="auto"/>
        <w:ind w:left="426"/>
        <w:jc w:val="both"/>
        <w:rPr>
          <w:color w:val="auto"/>
          <w:sz w:val="22"/>
          <w:szCs w:val="22"/>
        </w:rPr>
      </w:pPr>
      <w:r w:rsidRPr="00874703">
        <w:rPr>
          <w:color w:val="auto"/>
          <w:sz w:val="22"/>
          <w:szCs w:val="22"/>
        </w:rPr>
        <w:t xml:space="preserve">Trading Members of the Exchange are hereby informed that the Exchange </w:t>
      </w:r>
      <w:r w:rsidR="00E260A5">
        <w:rPr>
          <w:color w:val="auto"/>
          <w:sz w:val="22"/>
          <w:szCs w:val="22"/>
        </w:rPr>
        <w:t xml:space="preserve">has </w:t>
      </w:r>
      <w:r w:rsidRPr="00874703">
        <w:rPr>
          <w:color w:val="auto"/>
          <w:sz w:val="22"/>
          <w:szCs w:val="22"/>
        </w:rPr>
        <w:t>introduce</w:t>
      </w:r>
      <w:r w:rsidR="00E260A5">
        <w:rPr>
          <w:color w:val="auto"/>
          <w:sz w:val="22"/>
          <w:szCs w:val="22"/>
        </w:rPr>
        <w:t>d</w:t>
      </w:r>
      <w:r w:rsidRPr="00874703">
        <w:rPr>
          <w:color w:val="auto"/>
          <w:sz w:val="22"/>
          <w:szCs w:val="22"/>
        </w:rPr>
        <w:t xml:space="preserve"> a new facility to enter orders in paired option contracts in its Equity Derivatives segment. Paired option contracts allow a trader to take positions across two different option contracts belonging to the same underlying asset by entering a single order.</w:t>
      </w:r>
    </w:p>
    <w:p w:rsidR="00874703" w:rsidRPr="0062220B" w:rsidRDefault="00874703" w:rsidP="00874703">
      <w:pPr>
        <w:pStyle w:val="NoSpacing"/>
      </w:pPr>
    </w:p>
    <w:p w:rsidR="009A58A6" w:rsidRPr="0062220B" w:rsidRDefault="009A58A6" w:rsidP="00DE28E3">
      <w:pPr>
        <w:spacing w:after="0"/>
        <w:jc w:val="both"/>
        <w:rPr>
          <w:rFonts w:ascii="Times New Roman" w:eastAsia="Times New Roman" w:hAnsi="Times New Roman" w:cs="Times New Roman"/>
          <w:color w:val="000000"/>
          <w:sz w:val="24"/>
          <w:szCs w:val="24"/>
          <w:lang w:val="en-IN" w:eastAsia="en-IN"/>
        </w:rPr>
      </w:pPr>
      <w:r w:rsidRPr="0062220B">
        <w:rPr>
          <w:rFonts w:ascii="Times New Roman" w:eastAsia="Times New Roman" w:hAnsi="Times New Roman" w:cs="Times New Roman"/>
          <w:b/>
          <w:bCs/>
          <w:color w:val="000000"/>
          <w:sz w:val="24"/>
          <w:szCs w:val="24"/>
          <w:lang w:val="en-IN" w:eastAsia="en-IN"/>
        </w:rPr>
        <w:t>Following are the highlights of paired options contract:-</w:t>
      </w:r>
    </w:p>
    <w:p w:rsidR="009A58A6" w:rsidRPr="0062220B" w:rsidRDefault="009A58A6" w:rsidP="00DE28E3">
      <w:pPr>
        <w:spacing w:after="0"/>
        <w:ind w:firstLine="75"/>
        <w:jc w:val="both"/>
        <w:rPr>
          <w:rFonts w:ascii="Arial" w:eastAsia="Times New Roman" w:hAnsi="Arial" w:cs="Arial"/>
          <w:color w:val="000000"/>
          <w:lang w:val="en-IN" w:eastAsia="en-IN"/>
        </w:rPr>
      </w:pPr>
    </w:p>
    <w:p w:rsidR="009A58A6" w:rsidRPr="0062220B" w:rsidRDefault="009A58A6" w:rsidP="00DE28E3">
      <w:pPr>
        <w:pStyle w:val="NoSpacing"/>
        <w:numPr>
          <w:ilvl w:val="0"/>
          <w:numId w:val="30"/>
        </w:numPr>
        <w:spacing w:line="276" w:lineRule="auto"/>
        <w:ind w:left="1276" w:hanging="283"/>
        <w:jc w:val="both"/>
        <w:rPr>
          <w:rFonts w:ascii="Times New Roman" w:eastAsia="Times New Roman" w:hAnsi="Times New Roman" w:cs="Times New Roman"/>
          <w:lang w:val="en-IN" w:eastAsia="en-IN"/>
        </w:rPr>
      </w:pPr>
      <w:r w:rsidRPr="0062220B">
        <w:rPr>
          <w:rFonts w:ascii="Times New Roman" w:eastAsia="Times New Roman" w:hAnsi="Times New Roman" w:cs="Times New Roman"/>
          <w:lang w:val="en-IN" w:eastAsia="en-IN"/>
        </w:rPr>
        <w:t>Paired options contracts are 2-legged contracts that shall allow a trader to take positions on 2 different option contracts belonging to the same option product, at the same strike price and having the same expiry. </w:t>
      </w:r>
    </w:p>
    <w:p w:rsidR="009A58A6" w:rsidRPr="0062220B" w:rsidRDefault="009A58A6" w:rsidP="00DE28E3">
      <w:pPr>
        <w:pStyle w:val="NoSpacing"/>
        <w:numPr>
          <w:ilvl w:val="0"/>
          <w:numId w:val="30"/>
        </w:numPr>
        <w:spacing w:line="276" w:lineRule="auto"/>
        <w:ind w:left="1276" w:hanging="283"/>
        <w:jc w:val="both"/>
        <w:rPr>
          <w:rFonts w:ascii="Times New Roman" w:eastAsia="Times New Roman" w:hAnsi="Times New Roman" w:cs="Times New Roman"/>
          <w:lang w:val="en-IN" w:eastAsia="en-IN"/>
        </w:rPr>
      </w:pPr>
      <w:r w:rsidRPr="0062220B">
        <w:rPr>
          <w:rFonts w:ascii="Times New Roman" w:eastAsia="Times New Roman" w:hAnsi="Times New Roman" w:cs="Times New Roman"/>
          <w:lang w:val="en-IN" w:eastAsia="en-IN"/>
        </w:rPr>
        <w:t>Paired option contracts shall be made available on SENSEX option and 10 single stock option products that are part of the SENSEX index. List of option products with paired options shall be communicated in due course.</w:t>
      </w:r>
    </w:p>
    <w:p w:rsidR="009A58A6" w:rsidRPr="0062220B" w:rsidRDefault="009A58A6" w:rsidP="00DE28E3">
      <w:pPr>
        <w:pStyle w:val="NoSpacing"/>
        <w:numPr>
          <w:ilvl w:val="0"/>
          <w:numId w:val="30"/>
        </w:numPr>
        <w:spacing w:line="276" w:lineRule="auto"/>
        <w:ind w:left="1276" w:hanging="283"/>
        <w:jc w:val="both"/>
        <w:rPr>
          <w:rFonts w:ascii="Times New Roman" w:eastAsia="Times New Roman" w:hAnsi="Times New Roman" w:cs="Times New Roman"/>
          <w:lang w:val="en-IN" w:eastAsia="en-IN"/>
        </w:rPr>
      </w:pPr>
      <w:r w:rsidRPr="0062220B">
        <w:rPr>
          <w:rFonts w:ascii="Times New Roman" w:eastAsia="Times New Roman" w:hAnsi="Times New Roman" w:cs="Times New Roman"/>
          <w:lang w:val="en-IN" w:eastAsia="en-IN"/>
        </w:rPr>
        <w:lastRenderedPageBreak/>
        <w:t>Market lot, tick size and expiry of such contract shall be same as that of its corresponding   individual leg.</w:t>
      </w:r>
    </w:p>
    <w:p w:rsidR="009A58A6" w:rsidRPr="0062220B" w:rsidRDefault="009A58A6" w:rsidP="00DE28E3">
      <w:pPr>
        <w:pStyle w:val="NoSpacing"/>
        <w:numPr>
          <w:ilvl w:val="0"/>
          <w:numId w:val="30"/>
        </w:numPr>
        <w:spacing w:line="276" w:lineRule="auto"/>
        <w:ind w:left="1276" w:hanging="283"/>
        <w:jc w:val="both"/>
        <w:rPr>
          <w:rFonts w:ascii="Times New Roman" w:eastAsia="Times New Roman" w:hAnsi="Times New Roman" w:cs="Times New Roman"/>
          <w:lang w:val="en-IN" w:eastAsia="en-IN"/>
        </w:rPr>
      </w:pPr>
      <w:r w:rsidRPr="0062220B">
        <w:rPr>
          <w:rFonts w:ascii="Times New Roman" w:eastAsia="Times New Roman" w:hAnsi="Times New Roman" w:cs="Times New Roman"/>
          <w:lang w:val="en-IN" w:eastAsia="en-IN"/>
        </w:rPr>
        <w:t>These contracts shall be available on current, near and far monthly contract.</w:t>
      </w:r>
    </w:p>
    <w:p w:rsidR="009A58A6" w:rsidRPr="0062220B" w:rsidRDefault="009A58A6" w:rsidP="00DE28E3">
      <w:pPr>
        <w:pStyle w:val="NoSpacing"/>
        <w:numPr>
          <w:ilvl w:val="0"/>
          <w:numId w:val="30"/>
        </w:numPr>
        <w:spacing w:line="276" w:lineRule="auto"/>
        <w:ind w:left="1276" w:hanging="283"/>
        <w:jc w:val="both"/>
        <w:rPr>
          <w:rFonts w:ascii="Times New Roman" w:eastAsia="Times New Roman" w:hAnsi="Times New Roman" w:cs="Times New Roman"/>
          <w:lang w:val="en-IN" w:eastAsia="en-IN"/>
        </w:rPr>
      </w:pPr>
      <w:r w:rsidRPr="0062220B">
        <w:rPr>
          <w:rFonts w:ascii="Times New Roman" w:eastAsia="Times New Roman" w:hAnsi="Times New Roman" w:cs="Times New Roman"/>
          <w:lang w:val="en-IN" w:eastAsia="en-IN"/>
        </w:rPr>
        <w:t>Paired option contract shall comprise of one Call leg and one Put leg having same strike price and expiry.</w:t>
      </w:r>
    </w:p>
    <w:p w:rsidR="009A58A6" w:rsidRPr="0062220B" w:rsidRDefault="009A58A6" w:rsidP="00DE28E3">
      <w:pPr>
        <w:pStyle w:val="NoSpacing"/>
        <w:numPr>
          <w:ilvl w:val="0"/>
          <w:numId w:val="30"/>
        </w:numPr>
        <w:spacing w:line="276" w:lineRule="auto"/>
        <w:ind w:left="1276" w:hanging="283"/>
        <w:jc w:val="both"/>
        <w:rPr>
          <w:rFonts w:ascii="Times New Roman" w:eastAsia="Times New Roman" w:hAnsi="Times New Roman" w:cs="Times New Roman"/>
          <w:lang w:val="en-IN" w:eastAsia="en-IN"/>
        </w:rPr>
      </w:pPr>
      <w:r w:rsidRPr="0062220B">
        <w:rPr>
          <w:rFonts w:ascii="Times New Roman" w:eastAsia="Times New Roman" w:hAnsi="Times New Roman" w:cs="Times New Roman"/>
          <w:b/>
          <w:bCs/>
          <w:lang w:val="en-IN" w:eastAsia="en-IN"/>
        </w:rPr>
        <w:t>Buying</w:t>
      </w:r>
      <w:r w:rsidRPr="0062220B">
        <w:rPr>
          <w:rFonts w:ascii="Times New Roman" w:eastAsia="Times New Roman" w:hAnsi="Times New Roman" w:cs="Times New Roman"/>
          <w:lang w:val="en-IN" w:eastAsia="en-IN"/>
        </w:rPr>
        <w:t> such contract implies taking a buy position in the individual Call option contract and sell position in the individual Put option contract with same strike price and expiry.</w:t>
      </w:r>
    </w:p>
    <w:p w:rsidR="009A58A6" w:rsidRPr="0062220B" w:rsidRDefault="009A58A6" w:rsidP="00DE28E3">
      <w:pPr>
        <w:pStyle w:val="NoSpacing"/>
        <w:numPr>
          <w:ilvl w:val="0"/>
          <w:numId w:val="30"/>
        </w:numPr>
        <w:spacing w:line="276" w:lineRule="auto"/>
        <w:ind w:left="1276" w:hanging="283"/>
        <w:jc w:val="both"/>
        <w:rPr>
          <w:rFonts w:ascii="Times New Roman" w:eastAsia="Times New Roman" w:hAnsi="Times New Roman" w:cs="Times New Roman"/>
          <w:lang w:val="en-IN" w:eastAsia="en-IN"/>
        </w:rPr>
      </w:pPr>
      <w:r w:rsidRPr="0062220B">
        <w:rPr>
          <w:rFonts w:ascii="Times New Roman" w:eastAsia="Times New Roman" w:hAnsi="Times New Roman" w:cs="Times New Roman"/>
          <w:lang w:val="en-IN" w:eastAsia="en-IN"/>
        </w:rPr>
        <w:t>Similarly, </w:t>
      </w:r>
      <w:r w:rsidR="00874703" w:rsidRPr="0062220B">
        <w:rPr>
          <w:rFonts w:ascii="Times New Roman" w:eastAsia="Times New Roman" w:hAnsi="Times New Roman" w:cs="Times New Roman"/>
          <w:b/>
          <w:bCs/>
          <w:lang w:val="en-IN" w:eastAsia="en-IN"/>
        </w:rPr>
        <w:t>selling</w:t>
      </w:r>
      <w:r w:rsidRPr="0062220B">
        <w:rPr>
          <w:rFonts w:ascii="Times New Roman" w:eastAsia="Times New Roman" w:hAnsi="Times New Roman" w:cs="Times New Roman"/>
          <w:lang w:val="en-IN" w:eastAsia="en-IN"/>
        </w:rPr>
        <w:t> such contract implies taking a sell position in the individual Call option contract and buy position in the individual Put option contract with same strike price and expiry.</w:t>
      </w:r>
    </w:p>
    <w:p w:rsidR="009A58A6" w:rsidRPr="0062220B" w:rsidRDefault="009A58A6" w:rsidP="00DE28E3">
      <w:pPr>
        <w:pStyle w:val="NoSpacing"/>
        <w:numPr>
          <w:ilvl w:val="0"/>
          <w:numId w:val="30"/>
        </w:numPr>
        <w:spacing w:line="276" w:lineRule="auto"/>
        <w:ind w:left="1276" w:hanging="283"/>
        <w:jc w:val="both"/>
        <w:rPr>
          <w:rFonts w:ascii="Times New Roman" w:eastAsia="Times New Roman" w:hAnsi="Times New Roman" w:cs="Times New Roman"/>
          <w:lang w:val="en-IN" w:eastAsia="en-IN"/>
        </w:rPr>
      </w:pPr>
      <w:r w:rsidRPr="0062220B">
        <w:rPr>
          <w:rFonts w:ascii="Times New Roman" w:eastAsia="Times New Roman" w:hAnsi="Times New Roman" w:cs="Times New Roman"/>
          <w:lang w:val="en-IN" w:eastAsia="en-IN"/>
        </w:rPr>
        <w:t>Each paired option contract shall have its own order book and order entered in such contract shall be executed as per the normal price time priority logic.</w:t>
      </w:r>
    </w:p>
    <w:p w:rsidR="009A58A6" w:rsidRPr="0062220B" w:rsidRDefault="009A58A6" w:rsidP="00DE28E3">
      <w:pPr>
        <w:pStyle w:val="NoSpacing"/>
        <w:numPr>
          <w:ilvl w:val="0"/>
          <w:numId w:val="30"/>
        </w:numPr>
        <w:spacing w:line="276" w:lineRule="auto"/>
        <w:ind w:left="1276" w:hanging="283"/>
        <w:jc w:val="both"/>
        <w:rPr>
          <w:rFonts w:ascii="Times New Roman" w:eastAsia="Times New Roman" w:hAnsi="Times New Roman" w:cs="Times New Roman"/>
          <w:lang w:val="en-IN" w:eastAsia="en-IN"/>
        </w:rPr>
      </w:pPr>
      <w:r w:rsidRPr="0062220B">
        <w:rPr>
          <w:rFonts w:ascii="Times New Roman" w:eastAsia="Times New Roman" w:hAnsi="Times New Roman" w:cs="Times New Roman"/>
          <w:lang w:val="en-IN" w:eastAsia="en-IN"/>
        </w:rPr>
        <w:t>Matching in each paired contracts shall result in 2 trades – one trade in the individual Call option contract and other trade in the individual Put option contract.</w:t>
      </w:r>
    </w:p>
    <w:p w:rsidR="009A58A6" w:rsidRPr="0062220B" w:rsidRDefault="009A58A6" w:rsidP="00DE28E3">
      <w:pPr>
        <w:pStyle w:val="NoSpacing"/>
        <w:numPr>
          <w:ilvl w:val="0"/>
          <w:numId w:val="30"/>
        </w:numPr>
        <w:spacing w:line="276" w:lineRule="auto"/>
        <w:ind w:left="1276" w:hanging="283"/>
        <w:jc w:val="both"/>
        <w:rPr>
          <w:rFonts w:ascii="Times New Roman" w:eastAsia="Times New Roman" w:hAnsi="Times New Roman" w:cs="Times New Roman"/>
          <w:lang w:val="en-IN" w:eastAsia="en-IN"/>
        </w:rPr>
      </w:pPr>
      <w:r w:rsidRPr="0062220B">
        <w:rPr>
          <w:rFonts w:ascii="Times New Roman" w:eastAsia="Times New Roman" w:hAnsi="Times New Roman" w:cs="Times New Roman"/>
          <w:lang w:val="en-IN" w:eastAsia="en-IN"/>
        </w:rPr>
        <w:t>The trade executed in such contracts shall be decomposed into in its respective simple contract legs, similar to the calendar future spread.</w:t>
      </w:r>
    </w:p>
    <w:p w:rsidR="00496FE6" w:rsidRPr="00644EFC" w:rsidRDefault="00496FE6" w:rsidP="00DE28E3">
      <w:pPr>
        <w:pStyle w:val="NoSpacing"/>
        <w:spacing w:line="276" w:lineRule="auto"/>
        <w:ind w:left="360"/>
        <w:rPr>
          <w:rFonts w:ascii="Times New Roman" w:eastAsia="Times New Roman" w:hAnsi="Times New Roman" w:cs="Times New Roman"/>
          <w:sz w:val="24"/>
          <w:szCs w:val="24"/>
          <w:lang w:val="en-IN" w:eastAsia="en-IN"/>
        </w:rPr>
      </w:pPr>
    </w:p>
    <w:p w:rsidR="00874703" w:rsidRDefault="00573B40" w:rsidP="00874703">
      <w:pPr>
        <w:pStyle w:val="NoSpacing"/>
        <w:spacing w:line="276" w:lineRule="auto"/>
        <w:ind w:left="360"/>
        <w:rPr>
          <w:rStyle w:val="Hyperlink"/>
          <w:rFonts w:ascii="Times New Roman" w:hAnsi="Times New Roman" w:cs="Times New Roman"/>
          <w:color w:val="0089D0"/>
          <w:sz w:val="24"/>
          <w:szCs w:val="24"/>
        </w:rPr>
      </w:pPr>
      <w:hyperlink r:id="rId12" w:tgtFrame="_blank" w:history="1">
        <w:r w:rsidR="00496FE6" w:rsidRPr="00DE28E3">
          <w:rPr>
            <w:rStyle w:val="Hyperlink"/>
            <w:rFonts w:ascii="Times New Roman" w:hAnsi="Times New Roman" w:cs="Times New Roman"/>
            <w:color w:val="0089D0"/>
            <w:sz w:val="24"/>
            <w:szCs w:val="24"/>
          </w:rPr>
          <w:t>Introduction of Paired Option contracts in Equity Derivatives Segment</w:t>
        </w:r>
      </w:hyperlink>
    </w:p>
    <w:p w:rsidR="00874703" w:rsidRPr="00634AC4" w:rsidRDefault="00573B40" w:rsidP="00874703">
      <w:pPr>
        <w:pStyle w:val="Default"/>
        <w:spacing w:line="276" w:lineRule="auto"/>
        <w:jc w:val="right"/>
        <w:rPr>
          <w:rStyle w:val="Hyperlink"/>
          <w:color w:val="FF0000"/>
          <w:sz w:val="16"/>
          <w:szCs w:val="16"/>
        </w:rPr>
      </w:pPr>
      <w:hyperlink w:anchor="_top" w:history="1">
        <w:r w:rsidR="00874703" w:rsidRPr="00644EFC">
          <w:rPr>
            <w:rStyle w:val="Hyperlink"/>
            <w:color w:val="FF0000"/>
            <w:sz w:val="16"/>
            <w:szCs w:val="16"/>
          </w:rPr>
          <w:t>Go Top</w:t>
        </w:r>
      </w:hyperlink>
    </w:p>
    <w:p w:rsidR="0039073D" w:rsidRPr="0062220B" w:rsidRDefault="0039073D" w:rsidP="00DE28E3">
      <w:pPr>
        <w:pStyle w:val="Heading1"/>
        <w:jc w:val="both"/>
        <w:rPr>
          <w:rFonts w:ascii="Times New Roman" w:hAnsi="Times New Roman" w:cs="Times New Roman"/>
          <w:color w:val="auto"/>
          <w:sz w:val="24"/>
          <w:szCs w:val="24"/>
        </w:rPr>
      </w:pPr>
      <w:bookmarkStart w:id="20" w:name="_2.3_PAN-based_Self-trade"/>
      <w:bookmarkEnd w:id="20"/>
      <w:r w:rsidRPr="0062220B">
        <w:rPr>
          <w:rFonts w:ascii="Times New Roman" w:hAnsi="Times New Roman" w:cs="Times New Roman"/>
          <w:color w:val="auto"/>
          <w:sz w:val="24"/>
          <w:szCs w:val="24"/>
        </w:rPr>
        <w:t>2.</w:t>
      </w:r>
      <w:r w:rsidR="0018167A">
        <w:rPr>
          <w:rFonts w:ascii="Times New Roman" w:hAnsi="Times New Roman" w:cs="Times New Roman"/>
          <w:color w:val="auto"/>
          <w:sz w:val="24"/>
          <w:szCs w:val="24"/>
        </w:rPr>
        <w:t>3</w:t>
      </w:r>
      <w:r w:rsidRPr="0062220B">
        <w:rPr>
          <w:rFonts w:ascii="Times New Roman" w:hAnsi="Times New Roman" w:cs="Times New Roman"/>
          <w:color w:val="auto"/>
          <w:sz w:val="24"/>
          <w:szCs w:val="24"/>
        </w:rPr>
        <w:t xml:space="preserve"> </w:t>
      </w:r>
      <w:r w:rsidR="009525FB" w:rsidRPr="0062220B">
        <w:rPr>
          <w:rFonts w:ascii="Times New Roman" w:hAnsi="Times New Roman" w:cs="Times New Roman"/>
          <w:color w:val="auto"/>
          <w:sz w:val="24"/>
          <w:szCs w:val="24"/>
        </w:rPr>
        <w:t>PAN-based Self-trade Prevention Check Functionality for Equity Derivatives segment</w:t>
      </w:r>
    </w:p>
    <w:p w:rsidR="009525FB" w:rsidRPr="0062220B" w:rsidRDefault="00611E17" w:rsidP="00DE28E3">
      <w:pPr>
        <w:ind w:left="426"/>
        <w:jc w:val="both"/>
        <w:rPr>
          <w:rFonts w:ascii="Times New Roman" w:hAnsi="Times New Roman" w:cs="Times New Roman"/>
        </w:rPr>
      </w:pPr>
      <w:r>
        <w:rPr>
          <w:rFonts w:ascii="Times New Roman" w:hAnsi="Times New Roman" w:cs="Times New Roman"/>
        </w:rPr>
        <w:t>S</w:t>
      </w:r>
      <w:r w:rsidR="009525FB" w:rsidRPr="0062220B">
        <w:rPr>
          <w:rFonts w:ascii="Times New Roman" w:hAnsi="Times New Roman" w:cs="Times New Roman"/>
        </w:rPr>
        <w:t>elf-trade prevention check</w:t>
      </w:r>
      <w:r>
        <w:rPr>
          <w:rFonts w:ascii="Times New Roman" w:hAnsi="Times New Roman" w:cs="Times New Roman"/>
        </w:rPr>
        <w:t xml:space="preserve"> was introduced</w:t>
      </w:r>
      <w:r w:rsidR="009525FB" w:rsidRPr="0062220B">
        <w:rPr>
          <w:rFonts w:ascii="Times New Roman" w:hAnsi="Times New Roman" w:cs="Times New Roman"/>
        </w:rPr>
        <w:t xml:space="preserve"> based on Permanent Account Number (PAN) of clients. Using the PAN details available in the Exchange records, the aforesaid check shall help prevent matching between a buy and a sell order of a client placed by different members in the same order book.  All other characteristics of the STPC mechanism shall continue to be applicable.</w:t>
      </w:r>
    </w:p>
    <w:p w:rsidR="009525FB" w:rsidRPr="00006609" w:rsidRDefault="00573B40" w:rsidP="00DE28E3">
      <w:pPr>
        <w:pStyle w:val="ListParagraph"/>
        <w:spacing w:line="276" w:lineRule="auto"/>
        <w:ind w:left="426"/>
        <w:rPr>
          <w:rStyle w:val="Hyperlink"/>
          <w:rFonts w:ascii="Times New Roman" w:eastAsiaTheme="minorEastAsia" w:hAnsi="Times New Roman" w:cs="Times New Roman"/>
          <w:color w:val="0089D0"/>
          <w:sz w:val="24"/>
          <w:szCs w:val="24"/>
          <w:lang w:val="en-US"/>
        </w:rPr>
      </w:pPr>
      <w:hyperlink r:id="rId13" w:tgtFrame="_blank" w:history="1">
        <w:r w:rsidR="009525FB" w:rsidRPr="00006609">
          <w:rPr>
            <w:rStyle w:val="Hyperlink"/>
            <w:rFonts w:ascii="Times New Roman" w:eastAsiaTheme="minorEastAsia" w:hAnsi="Times New Roman" w:cs="Times New Roman"/>
            <w:color w:val="0089D0"/>
            <w:sz w:val="24"/>
            <w:szCs w:val="24"/>
            <w:lang w:val="en-US"/>
          </w:rPr>
          <w:t>PAN-based Self-trade Prevention Check Functionality for Equity Derivatives segment</w:t>
        </w:r>
      </w:hyperlink>
    </w:p>
    <w:p w:rsidR="00874703" w:rsidRPr="0062220B" w:rsidRDefault="00874703" w:rsidP="00874703">
      <w:pPr>
        <w:pStyle w:val="Heading1"/>
        <w:jc w:val="both"/>
        <w:rPr>
          <w:rFonts w:ascii="Times New Roman" w:hAnsi="Times New Roman" w:cs="Times New Roman"/>
          <w:color w:val="auto"/>
          <w:sz w:val="24"/>
          <w:szCs w:val="24"/>
        </w:rPr>
      </w:pPr>
      <w:bookmarkStart w:id="21" w:name="_2.4_Policy_for"/>
      <w:bookmarkEnd w:id="21"/>
      <w:r>
        <w:rPr>
          <w:rFonts w:ascii="Times New Roman" w:hAnsi="Times New Roman" w:cs="Times New Roman"/>
          <w:color w:val="auto"/>
          <w:sz w:val="24"/>
          <w:szCs w:val="24"/>
        </w:rPr>
        <w:t>2.4</w:t>
      </w:r>
      <w:r w:rsidRPr="0062220B">
        <w:rPr>
          <w:rFonts w:ascii="Times New Roman" w:hAnsi="Times New Roman" w:cs="Times New Roman"/>
          <w:color w:val="auto"/>
          <w:sz w:val="24"/>
          <w:szCs w:val="24"/>
        </w:rPr>
        <w:t xml:space="preserve"> Policy for Annulment of trades undertaken on BSE Trading platform</w:t>
      </w:r>
    </w:p>
    <w:p w:rsidR="00874703" w:rsidRDefault="00874703" w:rsidP="00874703">
      <w:pPr>
        <w:pStyle w:val="NoSpacing"/>
        <w:spacing w:line="276" w:lineRule="auto"/>
        <w:ind w:left="426"/>
        <w:rPr>
          <w:b/>
        </w:rPr>
      </w:pPr>
    </w:p>
    <w:p w:rsidR="00874703" w:rsidRPr="0062220B" w:rsidRDefault="00874703" w:rsidP="00874703">
      <w:pPr>
        <w:pStyle w:val="NoSpacing"/>
        <w:spacing w:line="276" w:lineRule="auto"/>
        <w:ind w:left="426"/>
        <w:rPr>
          <w:rFonts w:ascii="Times New Roman" w:hAnsi="Times New Roman" w:cs="Times New Roman"/>
        </w:rPr>
      </w:pPr>
      <w:r w:rsidRPr="00874703">
        <w:rPr>
          <w:rFonts w:ascii="Times New Roman" w:hAnsi="Times New Roman" w:cs="Times New Roman"/>
          <w:b/>
        </w:rPr>
        <w:t>Trade Annulment request - Eligibility Criteria for submission</w:t>
      </w:r>
      <w:r w:rsidRPr="0062220B">
        <w:t xml:space="preserve"> </w:t>
      </w:r>
      <w:r w:rsidRPr="0062220B">
        <w:rPr>
          <w:rFonts w:ascii="Times New Roman" w:hAnsi="Times New Roman" w:cs="Times New Roman"/>
        </w:rPr>
        <w:t xml:space="preserve">The trade/s for which annulment is requested shall be called as “Trade/s in question” hereafter for brevity and shall have to fulfill all the conditions stated below for the Exchange to accept it for further processing;   </w:t>
      </w:r>
    </w:p>
    <w:p w:rsidR="00874703" w:rsidRPr="0062220B" w:rsidRDefault="00874703" w:rsidP="00874703">
      <w:pPr>
        <w:pStyle w:val="NoSpacing"/>
        <w:numPr>
          <w:ilvl w:val="0"/>
          <w:numId w:val="31"/>
        </w:numPr>
        <w:spacing w:line="276" w:lineRule="auto"/>
        <w:rPr>
          <w:rFonts w:ascii="Times New Roman" w:hAnsi="Times New Roman" w:cs="Times New Roman"/>
        </w:rPr>
      </w:pPr>
      <w:r w:rsidRPr="0062220B">
        <w:rPr>
          <w:rFonts w:ascii="Times New Roman" w:hAnsi="Times New Roman" w:cs="Times New Roman"/>
        </w:rPr>
        <w:t>Value of such trade/s in question shall be ; Future Contracts - Trade Value in case of Futures Contract is  at least Rs. 20 Lac  OR Option Contract - Trade Premium value is at least Rs. 20 Lacs Where a trade refers to a single transaction of Rs. 20 Lacs &amp; above or  series of transactions emanating out of a single order with aggregate value of Rs. 20 Lac and above.</w:t>
      </w:r>
    </w:p>
    <w:p w:rsidR="00874703" w:rsidRPr="0062220B" w:rsidRDefault="00874703" w:rsidP="00874703">
      <w:pPr>
        <w:pStyle w:val="NoSpacing"/>
        <w:numPr>
          <w:ilvl w:val="0"/>
          <w:numId w:val="31"/>
        </w:numPr>
        <w:spacing w:line="276" w:lineRule="auto"/>
        <w:rPr>
          <w:rFonts w:ascii="Times New Roman" w:hAnsi="Times New Roman" w:cs="Times New Roman"/>
        </w:rPr>
      </w:pPr>
      <w:r w:rsidRPr="0062220B">
        <w:rPr>
          <w:rFonts w:ascii="Times New Roman" w:hAnsi="Times New Roman" w:cs="Times New Roman"/>
        </w:rPr>
        <w:t xml:space="preserve">It shall be the first request for annulment by the trading members during the calendar Quarter in the segment </w:t>
      </w:r>
    </w:p>
    <w:p w:rsidR="00874703" w:rsidRPr="0062220B" w:rsidRDefault="00874703" w:rsidP="00874703">
      <w:pPr>
        <w:pStyle w:val="NoSpacing"/>
        <w:numPr>
          <w:ilvl w:val="0"/>
          <w:numId w:val="31"/>
        </w:numPr>
        <w:spacing w:line="276" w:lineRule="auto"/>
        <w:rPr>
          <w:rFonts w:ascii="Times New Roman" w:hAnsi="Times New Roman" w:cs="Times New Roman"/>
        </w:rPr>
      </w:pPr>
      <w:r w:rsidRPr="0062220B">
        <w:rPr>
          <w:rFonts w:ascii="Times New Roman" w:hAnsi="Times New Roman" w:cs="Times New Roman"/>
        </w:rPr>
        <w:t xml:space="preserve">Trade Annulment request submitted within 30 minutes from the occurrence of the trade. </w:t>
      </w:r>
    </w:p>
    <w:p w:rsidR="00874703" w:rsidRPr="0062220B" w:rsidRDefault="00874703" w:rsidP="00874703">
      <w:pPr>
        <w:pStyle w:val="NoSpacing"/>
        <w:numPr>
          <w:ilvl w:val="0"/>
          <w:numId w:val="31"/>
        </w:numPr>
        <w:spacing w:line="276" w:lineRule="auto"/>
        <w:rPr>
          <w:rFonts w:ascii="Times New Roman" w:hAnsi="Times New Roman" w:cs="Times New Roman"/>
        </w:rPr>
      </w:pPr>
      <w:r w:rsidRPr="0062220B">
        <w:rPr>
          <w:rFonts w:ascii="Times New Roman" w:hAnsi="Times New Roman" w:cs="Times New Roman"/>
        </w:rPr>
        <w:t>Trade/s in question are not arising out PAN based wash trades.</w:t>
      </w:r>
    </w:p>
    <w:p w:rsidR="00874703" w:rsidRPr="00DE28E3" w:rsidRDefault="00874703" w:rsidP="00874703">
      <w:pPr>
        <w:pStyle w:val="NoSpacing"/>
        <w:spacing w:line="276" w:lineRule="auto"/>
        <w:ind w:left="1004"/>
        <w:rPr>
          <w:rFonts w:ascii="Times New Roman" w:hAnsi="Times New Roman" w:cs="Times New Roman"/>
          <w:sz w:val="24"/>
          <w:szCs w:val="24"/>
        </w:rPr>
      </w:pPr>
    </w:p>
    <w:p w:rsidR="00124EE5" w:rsidRDefault="00573B40" w:rsidP="00006609">
      <w:pPr>
        <w:rPr>
          <w:rStyle w:val="Hyperlink"/>
          <w:rFonts w:ascii="Times New Roman" w:hAnsi="Times New Roman" w:cs="Times New Roman"/>
          <w:color w:val="0089D0"/>
          <w:sz w:val="24"/>
          <w:szCs w:val="24"/>
        </w:rPr>
      </w:pPr>
      <w:hyperlink r:id="rId14" w:tgtFrame="_blank" w:history="1">
        <w:r w:rsidR="00874703" w:rsidRPr="00006609">
          <w:rPr>
            <w:rStyle w:val="Hyperlink"/>
            <w:rFonts w:ascii="Times New Roman" w:hAnsi="Times New Roman" w:cs="Times New Roman"/>
            <w:color w:val="0089D0"/>
            <w:sz w:val="24"/>
            <w:szCs w:val="24"/>
          </w:rPr>
          <w:t>Policy for Annulment of trades undertaken on BSE Trading platform</w:t>
        </w:r>
      </w:hyperlink>
    </w:p>
    <w:p w:rsidR="00DA32BC" w:rsidRDefault="00573B40" w:rsidP="00DA32BC">
      <w:pPr>
        <w:rPr>
          <w:rStyle w:val="Hyperlink"/>
          <w:rFonts w:ascii="Times New Roman" w:hAnsi="Times New Roman" w:cs="Times New Roman"/>
          <w:color w:val="0089D0"/>
          <w:sz w:val="24"/>
          <w:szCs w:val="24"/>
        </w:rPr>
      </w:pPr>
      <w:hyperlink r:id="rId15" w:tgtFrame="_blank" w:history="1">
        <w:r w:rsidR="00DA32BC" w:rsidRPr="00006609">
          <w:rPr>
            <w:rStyle w:val="Hyperlink"/>
            <w:rFonts w:ascii="Times New Roman" w:hAnsi="Times New Roman" w:cs="Times New Roman"/>
            <w:color w:val="0089D0"/>
            <w:sz w:val="24"/>
            <w:szCs w:val="24"/>
          </w:rPr>
          <w:t xml:space="preserve">Policy for </w:t>
        </w:r>
        <w:r w:rsidR="00DA32BC">
          <w:rPr>
            <w:rStyle w:val="Hyperlink"/>
            <w:rFonts w:ascii="Times New Roman" w:hAnsi="Times New Roman" w:cs="Times New Roman"/>
            <w:color w:val="0089D0"/>
            <w:sz w:val="24"/>
            <w:szCs w:val="24"/>
          </w:rPr>
          <w:t xml:space="preserve">Review of Trade </w:t>
        </w:r>
        <w:r w:rsidR="00DA32BC" w:rsidRPr="00006609">
          <w:rPr>
            <w:rStyle w:val="Hyperlink"/>
            <w:rFonts w:ascii="Times New Roman" w:hAnsi="Times New Roman" w:cs="Times New Roman"/>
            <w:color w:val="0089D0"/>
            <w:sz w:val="24"/>
            <w:szCs w:val="24"/>
          </w:rPr>
          <w:t>Annulment</w:t>
        </w:r>
        <w:r w:rsidR="00DA32BC">
          <w:rPr>
            <w:rStyle w:val="Hyperlink"/>
            <w:rFonts w:ascii="Times New Roman" w:hAnsi="Times New Roman" w:cs="Times New Roman"/>
            <w:color w:val="0089D0"/>
            <w:sz w:val="24"/>
            <w:szCs w:val="24"/>
          </w:rPr>
          <w:t>s</w:t>
        </w:r>
        <w:r w:rsidR="00DA32BC" w:rsidRPr="00006609">
          <w:rPr>
            <w:rStyle w:val="Hyperlink"/>
            <w:rFonts w:ascii="Times New Roman" w:hAnsi="Times New Roman" w:cs="Times New Roman"/>
            <w:color w:val="0089D0"/>
            <w:sz w:val="24"/>
            <w:szCs w:val="24"/>
          </w:rPr>
          <w:t xml:space="preserve"> undertaken on BSE Trading platform</w:t>
        </w:r>
      </w:hyperlink>
    </w:p>
    <w:p w:rsidR="00DA32BC" w:rsidRPr="00DF277B" w:rsidRDefault="00DA32BC" w:rsidP="00006609">
      <w:pPr>
        <w:rPr>
          <w:rStyle w:val="Hyperlink"/>
          <w:rFonts w:ascii="Times New Roman" w:hAnsi="Times New Roman" w:cs="Times New Roman"/>
          <w:color w:val="0089D0"/>
          <w:sz w:val="24"/>
          <w:szCs w:val="24"/>
        </w:rPr>
      </w:pPr>
    </w:p>
    <w:p w:rsidR="0010008C" w:rsidRDefault="00103045" w:rsidP="00874703">
      <w:pPr>
        <w:pStyle w:val="Heading1"/>
        <w:jc w:val="both"/>
        <w:rPr>
          <w:color w:val="auto"/>
          <w:sz w:val="24"/>
          <w:szCs w:val="24"/>
        </w:rPr>
      </w:pPr>
      <w:bookmarkStart w:id="22" w:name="_2.5_Introducing_Price"/>
      <w:bookmarkEnd w:id="22"/>
      <w:r>
        <w:rPr>
          <w:color w:val="auto"/>
          <w:sz w:val="24"/>
          <w:szCs w:val="24"/>
        </w:rPr>
        <w:t>2.5</w:t>
      </w:r>
      <w:r w:rsidR="0010008C" w:rsidRPr="0010008C">
        <w:rPr>
          <w:color w:val="auto"/>
          <w:sz w:val="24"/>
          <w:szCs w:val="24"/>
        </w:rPr>
        <w:t xml:space="preserve"> Introducing Price Reasonability Check for Equity Derivatives Segment</w:t>
      </w:r>
      <w:r w:rsidR="0010008C">
        <w:rPr>
          <w:color w:val="auto"/>
          <w:sz w:val="24"/>
          <w:szCs w:val="24"/>
        </w:rPr>
        <w:tab/>
      </w:r>
    </w:p>
    <w:p w:rsidR="00E93DA2" w:rsidRPr="00175CFE" w:rsidRDefault="00E260A5" w:rsidP="000246FE">
      <w:pPr>
        <w:autoSpaceDE w:val="0"/>
        <w:autoSpaceDN w:val="0"/>
        <w:adjustRightInd w:val="0"/>
        <w:spacing w:after="0" w:line="240" w:lineRule="auto"/>
        <w:ind w:firstLine="720"/>
        <w:jc w:val="both"/>
        <w:rPr>
          <w:rFonts w:ascii="Times New Roman" w:hAnsi="Times New Roman" w:cs="Times New Roman"/>
        </w:rPr>
      </w:pPr>
      <w:r>
        <w:rPr>
          <w:rFonts w:ascii="Times New Roman" w:hAnsi="Times New Roman" w:cs="Times New Roman"/>
        </w:rPr>
        <w:t>P</w:t>
      </w:r>
      <w:r w:rsidR="00E93DA2" w:rsidRPr="00175CFE">
        <w:rPr>
          <w:rFonts w:ascii="Times New Roman" w:hAnsi="Times New Roman" w:cs="Times New Roman"/>
        </w:rPr>
        <w:t>rice reasonability check (PRC) functionality</w:t>
      </w:r>
      <w:r>
        <w:rPr>
          <w:rFonts w:ascii="Times New Roman" w:hAnsi="Times New Roman" w:cs="Times New Roman"/>
        </w:rPr>
        <w:t xml:space="preserve"> was introduced</w:t>
      </w:r>
      <w:r w:rsidR="00E93DA2" w:rsidRPr="00175CFE">
        <w:rPr>
          <w:rFonts w:ascii="Times New Roman" w:hAnsi="Times New Roman" w:cs="Times New Roman"/>
        </w:rPr>
        <w:t xml:space="preserve"> in Equity Derivatives segment as a measure to further strengthen the Exchange</w:t>
      </w:r>
      <w:r w:rsidR="00E93DA2" w:rsidRPr="00175CFE">
        <w:rPr>
          <w:rFonts w:ascii="Times New Roman" w:hAnsi="Times New Roman" w:cs="Times New Roman" w:hint="eastAsia"/>
        </w:rPr>
        <w:t>’</w:t>
      </w:r>
      <w:r w:rsidR="00E93DA2" w:rsidRPr="00175CFE">
        <w:rPr>
          <w:rFonts w:ascii="Times New Roman" w:hAnsi="Times New Roman" w:cs="Times New Roman"/>
        </w:rPr>
        <w:t xml:space="preserve">s pre-trade risk management framework. In PRC functionality, each new (incoming) limit order price shall be validated with the Exchange defined Price Reasonability Range (PRR). PRR shall be dynamically computed and applied by the trading system using a real-time reference price. </w:t>
      </w:r>
      <w:r w:rsidR="00067B73" w:rsidRPr="00175CFE">
        <w:rPr>
          <w:rFonts w:ascii="Times New Roman" w:hAnsi="Times New Roman" w:cs="Times New Roman"/>
        </w:rPr>
        <w:t xml:space="preserve">The PRC functionality </w:t>
      </w:r>
      <w:r>
        <w:rPr>
          <w:rFonts w:ascii="Times New Roman" w:hAnsi="Times New Roman" w:cs="Times New Roman"/>
        </w:rPr>
        <w:t>is</w:t>
      </w:r>
      <w:r w:rsidR="00067B73" w:rsidRPr="00175CFE">
        <w:rPr>
          <w:rFonts w:ascii="Times New Roman" w:hAnsi="Times New Roman" w:cs="Times New Roman"/>
        </w:rPr>
        <w:t xml:space="preserve"> applicable for all futures and option contracts of Equity Derivatives segment. It shall not be applicable for calendar spreads and paired option contracts.</w:t>
      </w:r>
    </w:p>
    <w:p w:rsidR="00067B73" w:rsidRPr="00175CFE" w:rsidRDefault="00067B73" w:rsidP="000246FE">
      <w:pPr>
        <w:autoSpaceDE w:val="0"/>
        <w:autoSpaceDN w:val="0"/>
        <w:adjustRightInd w:val="0"/>
        <w:spacing w:after="0" w:line="240" w:lineRule="auto"/>
        <w:jc w:val="both"/>
        <w:rPr>
          <w:rFonts w:ascii="Times New Roman" w:hAnsi="Times New Roman" w:cs="Times New Roman"/>
        </w:rPr>
      </w:pPr>
    </w:p>
    <w:p w:rsidR="00067B73" w:rsidRDefault="00067B73" w:rsidP="00067B73">
      <w:pPr>
        <w:autoSpaceDE w:val="0"/>
        <w:autoSpaceDN w:val="0"/>
        <w:adjustRightInd w:val="0"/>
        <w:spacing w:after="0" w:line="240" w:lineRule="auto"/>
        <w:rPr>
          <w:rFonts w:ascii="Times New Roman" w:hAnsi="Times New Roman" w:cs="Times New Roman"/>
          <w:b/>
        </w:rPr>
      </w:pPr>
    </w:p>
    <w:p w:rsidR="007D6030" w:rsidRDefault="007D6030" w:rsidP="00067B73">
      <w:pPr>
        <w:autoSpaceDE w:val="0"/>
        <w:autoSpaceDN w:val="0"/>
        <w:adjustRightInd w:val="0"/>
        <w:spacing w:after="0" w:line="240" w:lineRule="auto"/>
        <w:rPr>
          <w:rFonts w:ascii="Times New Roman" w:hAnsi="Times New Roman" w:cs="Times New Roman"/>
          <w:b/>
        </w:rPr>
      </w:pPr>
    </w:p>
    <w:p w:rsidR="00067B73" w:rsidRPr="00175CFE" w:rsidRDefault="00067B73" w:rsidP="00067B73">
      <w:pPr>
        <w:autoSpaceDE w:val="0"/>
        <w:autoSpaceDN w:val="0"/>
        <w:adjustRightInd w:val="0"/>
        <w:spacing w:after="0" w:line="240" w:lineRule="auto"/>
        <w:rPr>
          <w:rFonts w:ascii="Times New Roman" w:hAnsi="Times New Roman" w:cs="Times New Roman"/>
          <w:b/>
        </w:rPr>
      </w:pPr>
      <w:r w:rsidRPr="00175CFE">
        <w:rPr>
          <w:rFonts w:ascii="Times New Roman" w:hAnsi="Times New Roman" w:cs="Times New Roman"/>
          <w:b/>
        </w:rPr>
        <w:t>Salient Features of Price Reasonability Check (PRC) functionality</w:t>
      </w:r>
    </w:p>
    <w:p w:rsidR="00067B73" w:rsidRPr="00175CFE" w:rsidRDefault="00067B73" w:rsidP="00175CFE">
      <w:pPr>
        <w:pStyle w:val="ListParagraph"/>
        <w:numPr>
          <w:ilvl w:val="0"/>
          <w:numId w:val="37"/>
        </w:numPr>
        <w:autoSpaceDE w:val="0"/>
        <w:autoSpaceDN w:val="0"/>
        <w:adjustRightInd w:val="0"/>
        <w:spacing w:after="0" w:line="240" w:lineRule="auto"/>
        <w:rPr>
          <w:rFonts w:ascii="Times New Roman" w:hAnsi="Times New Roman" w:cs="Times New Roman"/>
        </w:rPr>
      </w:pPr>
      <w:r w:rsidRPr="00175CFE">
        <w:rPr>
          <w:rFonts w:ascii="Times New Roman" w:eastAsiaTheme="minorEastAsia" w:hAnsi="Times New Roman" w:cs="Times New Roman"/>
          <w:lang w:val="en-US"/>
        </w:rPr>
        <w:t>It is applicable to incoming limit orders.</w:t>
      </w:r>
    </w:p>
    <w:p w:rsidR="00067B73" w:rsidRPr="00175CFE" w:rsidRDefault="00067B73" w:rsidP="00175CFE">
      <w:pPr>
        <w:pStyle w:val="ListParagraph"/>
        <w:numPr>
          <w:ilvl w:val="0"/>
          <w:numId w:val="37"/>
        </w:numPr>
        <w:autoSpaceDE w:val="0"/>
        <w:autoSpaceDN w:val="0"/>
        <w:adjustRightInd w:val="0"/>
        <w:spacing w:after="0" w:line="240" w:lineRule="auto"/>
        <w:ind w:right="-664"/>
        <w:rPr>
          <w:rFonts w:ascii="Times New Roman" w:hAnsi="Times New Roman" w:cs="Times New Roman"/>
        </w:rPr>
      </w:pPr>
      <w:r w:rsidRPr="00175CFE">
        <w:rPr>
          <w:rFonts w:ascii="Times New Roman" w:eastAsiaTheme="minorEastAsia" w:hAnsi="Times New Roman" w:cs="Times New Roman"/>
          <w:lang w:val="en-US"/>
        </w:rPr>
        <w:t>Price of incoming limit orders is checked with respect to PRR prevailing at that point of time.</w:t>
      </w:r>
    </w:p>
    <w:p w:rsidR="00067B73" w:rsidRPr="00175CFE" w:rsidRDefault="00067B73" w:rsidP="00175CFE">
      <w:pPr>
        <w:pStyle w:val="ListParagraph"/>
        <w:numPr>
          <w:ilvl w:val="0"/>
          <w:numId w:val="37"/>
        </w:numPr>
        <w:autoSpaceDE w:val="0"/>
        <w:autoSpaceDN w:val="0"/>
        <w:adjustRightInd w:val="0"/>
        <w:spacing w:after="0" w:line="240" w:lineRule="auto"/>
        <w:rPr>
          <w:rFonts w:ascii="Times New Roman" w:hAnsi="Times New Roman" w:cs="Times New Roman"/>
        </w:rPr>
      </w:pPr>
      <w:r w:rsidRPr="00175CFE">
        <w:rPr>
          <w:rFonts w:ascii="Times New Roman" w:eastAsiaTheme="minorEastAsia" w:hAnsi="Times New Roman" w:cs="Times New Roman"/>
          <w:lang w:val="en-US"/>
        </w:rPr>
        <w:t>PRR is dynamically computed using a real-time reference price. The Reference price shall be based on Best Bid/Offer prices on each contract/security.</w:t>
      </w:r>
    </w:p>
    <w:p w:rsidR="00067B73" w:rsidRPr="00175CFE" w:rsidRDefault="00067B73" w:rsidP="00175CFE">
      <w:pPr>
        <w:pStyle w:val="ListParagraph"/>
        <w:numPr>
          <w:ilvl w:val="0"/>
          <w:numId w:val="37"/>
        </w:numPr>
        <w:autoSpaceDE w:val="0"/>
        <w:autoSpaceDN w:val="0"/>
        <w:adjustRightInd w:val="0"/>
        <w:spacing w:after="0" w:line="240" w:lineRule="auto"/>
        <w:rPr>
          <w:rFonts w:ascii="Times New Roman" w:hAnsi="Times New Roman" w:cs="Times New Roman"/>
        </w:rPr>
      </w:pPr>
      <w:r w:rsidRPr="00175CFE">
        <w:rPr>
          <w:rFonts w:ascii="Times New Roman" w:eastAsiaTheme="minorEastAsia" w:hAnsi="Times New Roman" w:cs="Times New Roman"/>
          <w:lang w:val="en-US"/>
        </w:rPr>
        <w:t>Incoming orders outside of the PRR at that particular time shall be rejected.</w:t>
      </w:r>
    </w:p>
    <w:p w:rsidR="00067B73" w:rsidRPr="00175CFE" w:rsidRDefault="00067B73" w:rsidP="00175CFE">
      <w:pPr>
        <w:pStyle w:val="ListParagraph"/>
        <w:numPr>
          <w:ilvl w:val="0"/>
          <w:numId w:val="37"/>
        </w:numPr>
        <w:autoSpaceDE w:val="0"/>
        <w:autoSpaceDN w:val="0"/>
        <w:adjustRightInd w:val="0"/>
        <w:spacing w:after="0" w:line="240" w:lineRule="auto"/>
        <w:rPr>
          <w:rFonts w:ascii="Times New Roman" w:hAnsi="Times New Roman" w:cs="Times New Roman"/>
        </w:rPr>
      </w:pPr>
      <w:r w:rsidRPr="00175CFE">
        <w:rPr>
          <w:rFonts w:ascii="Times New Roman" w:eastAsiaTheme="minorEastAsia" w:hAnsi="Times New Roman" w:cs="Times New Roman"/>
          <w:lang w:val="en-US"/>
        </w:rPr>
        <w:t>If best bid/offer price is not available or if the spread between best bid &amp; best offer price is too wide, then the system shall compute PRR using LTP or previous close price as the reference price, as applicable.</w:t>
      </w:r>
    </w:p>
    <w:p w:rsidR="00067B73" w:rsidRDefault="00067B73" w:rsidP="00175CFE">
      <w:pPr>
        <w:pStyle w:val="ListParagraph"/>
        <w:numPr>
          <w:ilvl w:val="0"/>
          <w:numId w:val="37"/>
        </w:numPr>
        <w:autoSpaceDE w:val="0"/>
        <w:autoSpaceDN w:val="0"/>
        <w:adjustRightInd w:val="0"/>
        <w:spacing w:after="0" w:line="240" w:lineRule="auto"/>
        <w:rPr>
          <w:rFonts w:ascii="TimesNewRomanPSMT" w:cs="TimesNewRomanPSMT"/>
          <w:sz w:val="24"/>
          <w:szCs w:val="24"/>
        </w:rPr>
      </w:pPr>
      <w:r w:rsidRPr="00175CFE">
        <w:rPr>
          <w:rFonts w:ascii="Times New Roman" w:eastAsiaTheme="minorEastAsia" w:hAnsi="Times New Roman" w:cs="Times New Roman"/>
          <w:lang w:val="en-US"/>
        </w:rPr>
        <w:t>Trading system automatically switches, in real-time, between using the best bid/offer price and LTP (or previous close price) as the reference price to compute PRR, depending upon the order book situation</w:t>
      </w:r>
      <w:r>
        <w:rPr>
          <w:rFonts w:ascii="TimesNewRomanPSMT" w:cs="TimesNewRomanPSMT"/>
          <w:sz w:val="24"/>
          <w:szCs w:val="24"/>
        </w:rPr>
        <w:t>.</w:t>
      </w:r>
    </w:p>
    <w:p w:rsidR="007304FF" w:rsidRDefault="007304FF" w:rsidP="00175CFE">
      <w:pPr>
        <w:pStyle w:val="ListParagraph"/>
        <w:autoSpaceDE w:val="0"/>
        <w:autoSpaceDN w:val="0"/>
        <w:adjustRightInd w:val="0"/>
        <w:spacing w:after="0" w:line="240" w:lineRule="auto"/>
        <w:rPr>
          <w:rFonts w:ascii="TimesNewRomanPSMT" w:cs="TimesNewRomanPSMT"/>
          <w:sz w:val="24"/>
          <w:szCs w:val="24"/>
        </w:rPr>
      </w:pPr>
    </w:p>
    <w:p w:rsidR="007D6030" w:rsidRDefault="00573B40" w:rsidP="00175CFE">
      <w:pPr>
        <w:ind w:firstLine="360"/>
        <w:rPr>
          <w:rStyle w:val="Hyperlink"/>
          <w:rFonts w:ascii="Times New Roman" w:eastAsiaTheme="minorHAnsi" w:hAnsi="Times New Roman" w:cs="Times New Roman"/>
          <w:b/>
          <w:bCs/>
          <w:color w:val="0089D0"/>
          <w:sz w:val="24"/>
          <w:szCs w:val="24"/>
          <w:lang w:val="en-IN"/>
        </w:rPr>
      </w:pPr>
      <w:hyperlink r:id="rId16" w:tgtFrame="_blank" w:history="1">
        <w:r w:rsidR="00067B73" w:rsidRPr="00175CFE">
          <w:rPr>
            <w:rStyle w:val="Hyperlink"/>
            <w:rFonts w:ascii="Times New Roman" w:hAnsi="Times New Roman" w:cs="Times New Roman"/>
            <w:color w:val="0089D0"/>
            <w:sz w:val="24"/>
            <w:szCs w:val="24"/>
          </w:rPr>
          <w:t>Introducing Price Reasonability Check for Equity Derivatives Segment</w:t>
        </w:r>
      </w:hyperlink>
    </w:p>
    <w:p w:rsidR="00A07CC1" w:rsidRPr="00175CFE" w:rsidRDefault="00103045" w:rsidP="00175CFE">
      <w:pPr>
        <w:pStyle w:val="ListParagraph"/>
        <w:numPr>
          <w:ilvl w:val="0"/>
          <w:numId w:val="39"/>
        </w:numPr>
        <w:rPr>
          <w:rStyle w:val="Hyperlink"/>
          <w:rFonts w:ascii="Times New Roman" w:hAnsi="Times New Roman" w:cs="Times New Roman"/>
          <w:b/>
          <w:bCs/>
          <w:color w:val="0089D0"/>
          <w:sz w:val="24"/>
          <w:szCs w:val="24"/>
        </w:rPr>
      </w:pPr>
      <w:r w:rsidRPr="00175CFE">
        <w:rPr>
          <w:rStyle w:val="Hyperlink"/>
          <w:bCs/>
        </w:rPr>
        <w:t>Revision in Price Reasonability Check for Index and Stock future contracts</w:t>
      </w:r>
    </w:p>
    <w:p w:rsidR="00103045" w:rsidRDefault="00103045" w:rsidP="00175CFE">
      <w:pPr>
        <w:autoSpaceDE w:val="0"/>
        <w:autoSpaceDN w:val="0"/>
        <w:adjustRightInd w:val="0"/>
        <w:spacing w:after="0" w:line="240" w:lineRule="auto"/>
        <w:ind w:firstLine="360"/>
        <w:rPr>
          <w:rFonts w:ascii="Times New Roman" w:hAnsi="Times New Roman" w:cs="Times New Roman"/>
        </w:rPr>
      </w:pPr>
      <w:r w:rsidRPr="00175CFE">
        <w:rPr>
          <w:rFonts w:ascii="Times New Roman" w:hAnsi="Times New Roman" w:cs="Times New Roman"/>
        </w:rPr>
        <w:t>There is a revision in PRR in percentage term for Stock Futures and Index Futures contracts.</w:t>
      </w:r>
    </w:p>
    <w:p w:rsidR="001151A4" w:rsidRDefault="001151A4" w:rsidP="00175CFE">
      <w:pPr>
        <w:ind w:firstLine="360"/>
        <w:rPr>
          <w:rStyle w:val="Hyperlink"/>
          <w:bCs/>
        </w:rPr>
      </w:pPr>
      <w:r>
        <w:rPr>
          <w:rStyle w:val="Hyperlink"/>
          <w:bCs/>
        </w:rPr>
        <w:t xml:space="preserve"> </w:t>
      </w:r>
    </w:p>
    <w:p w:rsidR="00175CFE" w:rsidRPr="00175CFE" w:rsidRDefault="00573B40" w:rsidP="00175CFE">
      <w:pPr>
        <w:ind w:firstLine="360"/>
        <w:rPr>
          <w:rStyle w:val="Hyperlink"/>
          <w:rFonts w:ascii="Times New Roman" w:hAnsi="Times New Roman" w:cs="Times New Roman"/>
          <w:color w:val="0089D0"/>
          <w:sz w:val="24"/>
          <w:szCs w:val="24"/>
        </w:rPr>
      </w:pPr>
      <w:hyperlink r:id="rId17" w:tgtFrame="_blank" w:history="1">
        <w:r w:rsidR="00175CFE" w:rsidRPr="00175CFE">
          <w:rPr>
            <w:rStyle w:val="Hyperlink"/>
            <w:rFonts w:ascii="Times New Roman" w:hAnsi="Times New Roman" w:cs="Times New Roman"/>
            <w:color w:val="0089D0"/>
            <w:sz w:val="24"/>
            <w:szCs w:val="24"/>
          </w:rPr>
          <w:t>Revision in Price Reasonability Check for Index and Stock future contracts</w:t>
        </w:r>
      </w:hyperlink>
    </w:p>
    <w:p w:rsidR="0010008C" w:rsidRDefault="0010008C" w:rsidP="00874703">
      <w:pPr>
        <w:pStyle w:val="Heading1"/>
        <w:jc w:val="both"/>
        <w:rPr>
          <w:color w:val="auto"/>
          <w:sz w:val="24"/>
          <w:szCs w:val="24"/>
        </w:rPr>
      </w:pPr>
      <w:bookmarkStart w:id="23" w:name="_2.6_Prevention_of"/>
      <w:bookmarkEnd w:id="23"/>
      <w:r>
        <w:rPr>
          <w:color w:val="auto"/>
          <w:sz w:val="24"/>
          <w:szCs w:val="24"/>
        </w:rPr>
        <w:t>2.</w:t>
      </w:r>
      <w:r w:rsidR="00103045">
        <w:rPr>
          <w:color w:val="auto"/>
          <w:sz w:val="24"/>
          <w:szCs w:val="24"/>
        </w:rPr>
        <w:t>6</w:t>
      </w:r>
      <w:r>
        <w:rPr>
          <w:color w:val="auto"/>
          <w:sz w:val="24"/>
          <w:szCs w:val="24"/>
        </w:rPr>
        <w:t xml:space="preserve"> </w:t>
      </w:r>
      <w:r w:rsidR="00E93DA2" w:rsidRPr="00E93DA2">
        <w:rPr>
          <w:color w:val="auto"/>
          <w:sz w:val="24"/>
          <w:szCs w:val="24"/>
        </w:rPr>
        <w:t xml:space="preserve">Prevention of Reversal Trades in Equity Derivatives segment </w:t>
      </w:r>
    </w:p>
    <w:p w:rsidR="00A07CC1" w:rsidRDefault="000F6A88" w:rsidP="000246FE">
      <w:pPr>
        <w:pStyle w:val="ListParagraph"/>
        <w:autoSpaceDE w:val="0"/>
        <w:autoSpaceDN w:val="0"/>
        <w:adjustRightInd w:val="0"/>
        <w:spacing w:after="0" w:line="240" w:lineRule="auto"/>
        <w:jc w:val="both"/>
        <w:rPr>
          <w:rFonts w:ascii="Times New Roman" w:eastAsiaTheme="minorEastAsia" w:hAnsi="Times New Roman" w:cs="Times New Roman"/>
        </w:rPr>
      </w:pPr>
      <w:r w:rsidRPr="000F6A88">
        <w:rPr>
          <w:rFonts w:ascii="Times New Roman" w:eastAsiaTheme="minorEastAsia" w:hAnsi="Times New Roman" w:cs="Times New Roman"/>
          <w:lang w:val="en-US"/>
        </w:rPr>
        <w:t>Prevention of Reversal Trades</w:t>
      </w:r>
      <w:r w:rsidRPr="00175CFE">
        <w:rPr>
          <w:rFonts w:ascii="Times New Roman" w:eastAsiaTheme="minorEastAsia" w:hAnsi="Times New Roman" w:cs="Times New Roman"/>
          <w:lang w:val="en-US"/>
        </w:rPr>
        <w:t xml:space="preserve"> check </w:t>
      </w:r>
      <w:r w:rsidR="006E403C">
        <w:rPr>
          <w:rFonts w:ascii="Times New Roman" w:eastAsiaTheme="minorEastAsia" w:hAnsi="Times New Roman" w:cs="Times New Roman"/>
          <w:lang w:val="en-US"/>
        </w:rPr>
        <w:t>was</w:t>
      </w:r>
      <w:r w:rsidRPr="00175CFE">
        <w:rPr>
          <w:rFonts w:ascii="Times New Roman" w:eastAsiaTheme="minorEastAsia" w:hAnsi="Times New Roman" w:cs="Times New Roman"/>
          <w:lang w:val="en-US"/>
        </w:rPr>
        <w:t xml:space="preserve"> introduced with an intention to prevent potential cases of trade reversal taking place on the Exchange</w:t>
      </w:r>
      <w:r>
        <w:rPr>
          <w:rFonts w:ascii="Times New Roman" w:eastAsiaTheme="minorEastAsia" w:hAnsi="Times New Roman" w:cs="Times New Roman"/>
          <w:lang w:val="en-US"/>
        </w:rPr>
        <w:t xml:space="preserve"> </w:t>
      </w:r>
      <w:r w:rsidRPr="00175CFE">
        <w:rPr>
          <w:rFonts w:ascii="Times New Roman" w:eastAsiaTheme="minorEastAsia" w:hAnsi="Times New Roman" w:cs="Times New Roman"/>
          <w:lang w:val="en-US"/>
        </w:rPr>
        <w:t>trading platform. In this measure, the second leg (latest leg) of a reversal trade shall be automatically cancelled by the Exchange at the time of order matching in an on-line real time manner in the trading system.</w:t>
      </w:r>
    </w:p>
    <w:p w:rsidR="001151A4" w:rsidRDefault="001151A4" w:rsidP="00175CFE">
      <w:pPr>
        <w:autoSpaceDE w:val="0"/>
        <w:autoSpaceDN w:val="0"/>
        <w:adjustRightInd w:val="0"/>
        <w:spacing w:after="0" w:line="240" w:lineRule="auto"/>
        <w:rPr>
          <w:rFonts w:ascii="Times New Roman" w:hAnsi="Times New Roman" w:cs="Times New Roman"/>
        </w:rPr>
      </w:pPr>
    </w:p>
    <w:p w:rsidR="001151A4" w:rsidRPr="000246FE" w:rsidRDefault="001151A4" w:rsidP="000246FE">
      <w:pPr>
        <w:pStyle w:val="Default"/>
        <w:spacing w:line="276" w:lineRule="auto"/>
        <w:jc w:val="right"/>
        <w:rPr>
          <w:color w:val="FF0000"/>
          <w:sz w:val="16"/>
          <w:szCs w:val="16"/>
          <w:u w:val="single"/>
        </w:rPr>
      </w:pPr>
      <w:r w:rsidRPr="000246FE">
        <w:rPr>
          <w:rStyle w:val="Hyperlink"/>
          <w:color w:val="0089D0"/>
        </w:rPr>
        <w:t>Prevention of Reversal Trades in Equity Derivatives segment</w:t>
      </w:r>
      <w:r w:rsidR="000246FE">
        <w:tab/>
      </w:r>
      <w:r w:rsidR="000246FE">
        <w:tab/>
      </w:r>
      <w:r w:rsidR="000246FE">
        <w:tab/>
      </w:r>
      <w:r w:rsidR="000246FE">
        <w:tab/>
      </w:r>
      <w:hyperlink w:anchor="_top" w:history="1">
        <w:r w:rsidR="000246FE" w:rsidRPr="00644EFC">
          <w:rPr>
            <w:rStyle w:val="Hyperlink"/>
            <w:color w:val="FF0000"/>
            <w:sz w:val="16"/>
            <w:szCs w:val="16"/>
          </w:rPr>
          <w:t>Go Top</w:t>
        </w:r>
      </w:hyperlink>
    </w:p>
    <w:p w:rsidR="00971BD1" w:rsidRPr="00644EFC" w:rsidRDefault="00971BD1" w:rsidP="00874703">
      <w:pPr>
        <w:pStyle w:val="Heading1"/>
        <w:jc w:val="both"/>
        <w:rPr>
          <w:rFonts w:ascii="Times New Roman" w:hAnsi="Times New Roman" w:cs="Times New Roman"/>
          <w:sz w:val="24"/>
          <w:szCs w:val="24"/>
        </w:rPr>
      </w:pPr>
      <w:bookmarkStart w:id="24" w:name="_3._Index_based_1"/>
      <w:bookmarkEnd w:id="24"/>
      <w:r w:rsidRPr="00F25068">
        <w:rPr>
          <w:color w:val="auto"/>
          <w:sz w:val="24"/>
          <w:szCs w:val="24"/>
        </w:rPr>
        <w:t>3</w:t>
      </w:r>
      <w:r w:rsidR="00522B07" w:rsidRPr="00F25068">
        <w:rPr>
          <w:color w:val="auto"/>
          <w:sz w:val="24"/>
          <w:szCs w:val="24"/>
        </w:rPr>
        <w:t>.</w:t>
      </w:r>
      <w:r w:rsidRPr="00F25068">
        <w:rPr>
          <w:color w:val="auto"/>
          <w:sz w:val="24"/>
          <w:szCs w:val="24"/>
        </w:rPr>
        <w:t xml:space="preserve"> Index based market-wide circuit breaker mechanism </w:t>
      </w:r>
    </w:p>
    <w:p w:rsidR="00971BD1" w:rsidRPr="0062220B" w:rsidRDefault="00971BD1" w:rsidP="00DE28E3">
      <w:pPr>
        <w:autoSpaceDE w:val="0"/>
        <w:autoSpaceDN w:val="0"/>
        <w:adjustRightInd w:val="0"/>
        <w:spacing w:after="260"/>
        <w:ind w:left="426"/>
        <w:jc w:val="both"/>
        <w:rPr>
          <w:rFonts w:ascii="Times New Roman" w:hAnsi="Times New Roman" w:cs="Times New Roman"/>
          <w:bCs/>
        </w:rPr>
      </w:pPr>
      <w:r w:rsidRPr="0062220B">
        <w:rPr>
          <w:rFonts w:ascii="Times New Roman" w:hAnsi="Times New Roman" w:cs="Times New Roman"/>
          <w:bCs/>
        </w:rPr>
        <w:t xml:space="preserve">Based on the recommendations of Secondary Market Advisory Committee (SMAC), it has been decided to partially modify the system of index based market wide circuit breaker as under: </w:t>
      </w:r>
    </w:p>
    <w:p w:rsidR="00971BD1" w:rsidRPr="0062220B" w:rsidRDefault="00971BD1" w:rsidP="00DE28E3">
      <w:pPr>
        <w:pStyle w:val="Heading2"/>
        <w:jc w:val="both"/>
        <w:rPr>
          <w:rFonts w:ascii="Times New Roman" w:hAnsi="Times New Roman" w:cs="Times New Roman"/>
          <w:color w:val="auto"/>
          <w:sz w:val="24"/>
          <w:szCs w:val="24"/>
        </w:rPr>
      </w:pPr>
      <w:r w:rsidRPr="0062220B">
        <w:rPr>
          <w:rFonts w:ascii="Times New Roman" w:hAnsi="Times New Roman" w:cs="Times New Roman"/>
          <w:color w:val="auto"/>
          <w:sz w:val="24"/>
          <w:szCs w:val="24"/>
        </w:rPr>
        <w:t xml:space="preserve">3.1.1 Daily revision of index based market-wide circuit breaker limits: </w:t>
      </w:r>
    </w:p>
    <w:p w:rsidR="00971BD1" w:rsidRPr="0062220B" w:rsidRDefault="00971BD1" w:rsidP="00DE28E3">
      <w:pPr>
        <w:pStyle w:val="Default"/>
        <w:spacing w:line="276" w:lineRule="auto"/>
        <w:ind w:left="426"/>
        <w:jc w:val="both"/>
        <w:rPr>
          <w:bCs/>
          <w:color w:val="auto"/>
          <w:sz w:val="22"/>
          <w:szCs w:val="22"/>
        </w:rPr>
      </w:pPr>
      <w:r w:rsidRPr="0062220B">
        <w:rPr>
          <w:bCs/>
          <w:color w:val="auto"/>
          <w:sz w:val="22"/>
          <w:szCs w:val="22"/>
        </w:rPr>
        <w:t>The stock exchange on a daily basis shall translate the 10%, 15% and 20% circuit breaker limits of market-wide index variation based on the previous day's closing level of the index. Additionally, a 15 minutes pre opening session post each trading halt will be introduced.</w:t>
      </w:r>
    </w:p>
    <w:p w:rsidR="00971BD1" w:rsidRPr="0062220B" w:rsidRDefault="00971BD1" w:rsidP="00DE28E3">
      <w:pPr>
        <w:pStyle w:val="Heading2"/>
        <w:jc w:val="both"/>
        <w:rPr>
          <w:rFonts w:ascii="Times New Roman" w:hAnsi="Times New Roman" w:cs="Times New Roman"/>
          <w:color w:val="auto"/>
          <w:sz w:val="24"/>
          <w:szCs w:val="24"/>
        </w:rPr>
      </w:pPr>
      <w:r w:rsidRPr="0062220B">
        <w:rPr>
          <w:rFonts w:ascii="Times New Roman" w:hAnsi="Times New Roman" w:cs="Times New Roman"/>
          <w:color w:val="auto"/>
          <w:sz w:val="24"/>
          <w:szCs w:val="24"/>
        </w:rPr>
        <w:lastRenderedPageBreak/>
        <w:t xml:space="preserve">3.1.2 Resumption of trading after the halt with a pre-open call auction session </w:t>
      </w:r>
    </w:p>
    <w:p w:rsidR="00971BD1" w:rsidRPr="0062220B" w:rsidRDefault="00971BD1" w:rsidP="00DE28E3">
      <w:pPr>
        <w:pStyle w:val="Default"/>
        <w:spacing w:line="276" w:lineRule="auto"/>
        <w:ind w:left="426"/>
        <w:jc w:val="both"/>
        <w:rPr>
          <w:bCs/>
          <w:color w:val="auto"/>
          <w:sz w:val="22"/>
          <w:szCs w:val="22"/>
        </w:rPr>
      </w:pPr>
      <w:r w:rsidRPr="0062220B">
        <w:rPr>
          <w:bCs/>
          <w:color w:val="auto"/>
          <w:sz w:val="22"/>
          <w:szCs w:val="22"/>
        </w:rPr>
        <w:t xml:space="preserve">The index-based market-wide circuit breaker system will apply at 3 stages of the index movement, either way viz. at 10%, 15% and 20%. These circuit breakers when triggered will bring about a coordinated trading halt in all equity and equity derivative markets nationwide. The market-wide circuit breakers are triggered by movement of either the S &amp; P BSE Sensex or the NSE CNX Nifty, whichever is breached earlier.   </w:t>
      </w:r>
    </w:p>
    <w:p w:rsidR="00971BD1" w:rsidRPr="0062220B" w:rsidRDefault="00971BD1" w:rsidP="00DE28E3">
      <w:pPr>
        <w:pStyle w:val="Default"/>
        <w:spacing w:line="276" w:lineRule="auto"/>
        <w:ind w:left="426"/>
        <w:jc w:val="both"/>
        <w:rPr>
          <w:bCs/>
          <w:color w:val="auto"/>
          <w:sz w:val="22"/>
          <w:szCs w:val="22"/>
        </w:rPr>
      </w:pPr>
      <w:r w:rsidRPr="0062220B">
        <w:rPr>
          <w:bCs/>
          <w:color w:val="auto"/>
          <w:sz w:val="22"/>
          <w:szCs w:val="22"/>
        </w:rPr>
        <w:t xml:space="preserve">The trigger limits, respective halt duration and Pre Opening Session duration is given below: </w:t>
      </w:r>
    </w:p>
    <w:p w:rsidR="00971BD1" w:rsidRPr="00644EFC" w:rsidRDefault="00971BD1" w:rsidP="00DE28E3">
      <w:pPr>
        <w:pStyle w:val="Default"/>
        <w:spacing w:line="276" w:lineRule="auto"/>
        <w:jc w:val="both"/>
        <w:rPr>
          <w:bCs/>
          <w:color w:val="auto"/>
          <w:sz w:val="23"/>
          <w:szCs w:val="23"/>
        </w:rPr>
      </w:pPr>
    </w:p>
    <w:tbl>
      <w:tblPr>
        <w:tblW w:w="0" w:type="auto"/>
        <w:jc w:val="center"/>
        <w:tblLayout w:type="fixed"/>
        <w:tblLook w:val="00A0" w:firstRow="1" w:lastRow="0" w:firstColumn="1" w:lastColumn="0" w:noHBand="0" w:noVBand="0"/>
      </w:tblPr>
      <w:tblGrid>
        <w:gridCol w:w="1240"/>
        <w:gridCol w:w="1978"/>
        <w:gridCol w:w="2765"/>
        <w:gridCol w:w="2212"/>
      </w:tblGrid>
      <w:tr w:rsidR="00971BD1" w:rsidRPr="0062220B" w:rsidTr="000246FE">
        <w:trPr>
          <w:trHeight w:val="706"/>
          <w:jc w:val="center"/>
        </w:trPr>
        <w:tc>
          <w:tcPr>
            <w:tcW w:w="1240" w:type="dxa"/>
            <w:tcBorders>
              <w:top w:val="single" w:sz="6" w:space="0" w:color="000000"/>
              <w:left w:val="single" w:sz="6" w:space="0" w:color="000000"/>
              <w:bottom w:val="single" w:sz="6" w:space="0" w:color="000000"/>
              <w:right w:val="single" w:sz="6" w:space="0" w:color="000000"/>
            </w:tcBorders>
            <w:shd w:val="clear" w:color="auto" w:fill="auto"/>
            <w:hideMark/>
          </w:tcPr>
          <w:p w:rsidR="00971BD1" w:rsidRPr="0062220B" w:rsidRDefault="00971BD1" w:rsidP="00DE28E3">
            <w:pPr>
              <w:pStyle w:val="Default"/>
              <w:spacing w:line="276" w:lineRule="auto"/>
              <w:jc w:val="both"/>
              <w:rPr>
                <w:bCs/>
                <w:szCs w:val="22"/>
              </w:rPr>
            </w:pPr>
            <w:r w:rsidRPr="0062220B">
              <w:rPr>
                <w:bCs/>
                <w:szCs w:val="22"/>
              </w:rPr>
              <w:t>Trigger Limit</w:t>
            </w:r>
          </w:p>
        </w:tc>
        <w:tc>
          <w:tcPr>
            <w:tcW w:w="1978" w:type="dxa"/>
            <w:tcBorders>
              <w:top w:val="single" w:sz="6" w:space="0" w:color="000000"/>
              <w:left w:val="single" w:sz="6" w:space="0" w:color="000000"/>
              <w:bottom w:val="single" w:sz="6" w:space="0" w:color="000000"/>
              <w:right w:val="single" w:sz="6" w:space="0" w:color="000000"/>
            </w:tcBorders>
            <w:shd w:val="clear" w:color="auto" w:fill="auto"/>
            <w:hideMark/>
          </w:tcPr>
          <w:p w:rsidR="00971BD1" w:rsidRPr="0062220B" w:rsidRDefault="00971BD1" w:rsidP="00DE28E3">
            <w:pPr>
              <w:pStyle w:val="Default"/>
              <w:spacing w:line="276" w:lineRule="auto"/>
              <w:jc w:val="both"/>
              <w:rPr>
                <w:bCs/>
                <w:szCs w:val="22"/>
              </w:rPr>
            </w:pPr>
            <w:r w:rsidRPr="0062220B">
              <w:rPr>
                <w:bCs/>
                <w:szCs w:val="22"/>
              </w:rPr>
              <w:t>Trigger Time</w:t>
            </w:r>
          </w:p>
        </w:tc>
        <w:tc>
          <w:tcPr>
            <w:tcW w:w="2765" w:type="dxa"/>
            <w:tcBorders>
              <w:top w:val="single" w:sz="6" w:space="0" w:color="000000"/>
              <w:left w:val="single" w:sz="6" w:space="0" w:color="000000"/>
              <w:bottom w:val="single" w:sz="6" w:space="0" w:color="000000"/>
              <w:right w:val="single" w:sz="6" w:space="0" w:color="000000"/>
            </w:tcBorders>
            <w:shd w:val="clear" w:color="auto" w:fill="auto"/>
            <w:hideMark/>
          </w:tcPr>
          <w:p w:rsidR="00971BD1" w:rsidRPr="0062220B" w:rsidRDefault="00971BD1" w:rsidP="00DE28E3">
            <w:pPr>
              <w:pStyle w:val="Default"/>
              <w:spacing w:line="276" w:lineRule="auto"/>
              <w:jc w:val="both"/>
              <w:rPr>
                <w:bCs/>
                <w:szCs w:val="22"/>
              </w:rPr>
            </w:pPr>
            <w:r w:rsidRPr="0062220B">
              <w:rPr>
                <w:bCs/>
                <w:szCs w:val="22"/>
              </w:rPr>
              <w:t xml:space="preserve">Halt duration </w:t>
            </w:r>
          </w:p>
        </w:tc>
        <w:tc>
          <w:tcPr>
            <w:tcW w:w="2212" w:type="dxa"/>
            <w:tcBorders>
              <w:top w:val="single" w:sz="6" w:space="0" w:color="000000"/>
              <w:left w:val="single" w:sz="6" w:space="0" w:color="000000"/>
              <w:bottom w:val="single" w:sz="6" w:space="0" w:color="000000"/>
              <w:right w:val="single" w:sz="6" w:space="0" w:color="000000"/>
            </w:tcBorders>
            <w:shd w:val="clear" w:color="auto" w:fill="auto"/>
            <w:hideMark/>
          </w:tcPr>
          <w:p w:rsidR="00971BD1" w:rsidRPr="0062220B" w:rsidRDefault="00971BD1" w:rsidP="00DE28E3">
            <w:pPr>
              <w:pStyle w:val="Default"/>
              <w:spacing w:line="276" w:lineRule="auto"/>
              <w:jc w:val="both"/>
              <w:rPr>
                <w:bCs/>
                <w:szCs w:val="22"/>
              </w:rPr>
            </w:pPr>
            <w:r w:rsidRPr="0062220B">
              <w:rPr>
                <w:bCs/>
                <w:szCs w:val="22"/>
              </w:rPr>
              <w:t>Pre Opening Session duration post each halt</w:t>
            </w:r>
          </w:p>
        </w:tc>
      </w:tr>
      <w:tr w:rsidR="00971BD1" w:rsidRPr="0062220B" w:rsidTr="000246FE">
        <w:trPr>
          <w:trHeight w:val="246"/>
          <w:jc w:val="center"/>
        </w:trPr>
        <w:tc>
          <w:tcPr>
            <w:tcW w:w="1240"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971BD1" w:rsidRPr="0062220B" w:rsidRDefault="00971BD1" w:rsidP="00DE28E3">
            <w:pPr>
              <w:pStyle w:val="Default"/>
              <w:spacing w:line="276" w:lineRule="auto"/>
              <w:jc w:val="both"/>
              <w:rPr>
                <w:bCs/>
                <w:szCs w:val="22"/>
              </w:rPr>
            </w:pPr>
            <w:r w:rsidRPr="0062220B">
              <w:rPr>
                <w:bCs/>
                <w:szCs w:val="22"/>
              </w:rPr>
              <w:t>10 %</w:t>
            </w:r>
          </w:p>
        </w:tc>
        <w:tc>
          <w:tcPr>
            <w:tcW w:w="1978" w:type="dxa"/>
            <w:tcBorders>
              <w:top w:val="single" w:sz="6" w:space="0" w:color="000000"/>
              <w:left w:val="single" w:sz="6" w:space="0" w:color="000000"/>
              <w:bottom w:val="single" w:sz="6" w:space="0" w:color="000000"/>
              <w:right w:val="single" w:sz="6" w:space="0" w:color="000000"/>
            </w:tcBorders>
            <w:shd w:val="clear" w:color="auto" w:fill="auto"/>
            <w:hideMark/>
          </w:tcPr>
          <w:p w:rsidR="00971BD1" w:rsidRPr="0062220B" w:rsidRDefault="00971BD1" w:rsidP="00DE28E3">
            <w:pPr>
              <w:pStyle w:val="Default"/>
              <w:spacing w:line="276" w:lineRule="auto"/>
              <w:jc w:val="both"/>
              <w:rPr>
                <w:bCs/>
                <w:szCs w:val="22"/>
              </w:rPr>
            </w:pPr>
            <w:r w:rsidRPr="0062220B">
              <w:rPr>
                <w:bCs/>
                <w:szCs w:val="22"/>
              </w:rPr>
              <w:t>Before 1 Pm</w:t>
            </w:r>
          </w:p>
        </w:tc>
        <w:tc>
          <w:tcPr>
            <w:tcW w:w="2765" w:type="dxa"/>
            <w:tcBorders>
              <w:top w:val="single" w:sz="6" w:space="0" w:color="000000"/>
              <w:left w:val="single" w:sz="6" w:space="0" w:color="000000"/>
              <w:bottom w:val="single" w:sz="6" w:space="0" w:color="000000"/>
              <w:right w:val="single" w:sz="6" w:space="0" w:color="000000"/>
            </w:tcBorders>
            <w:shd w:val="clear" w:color="auto" w:fill="auto"/>
            <w:hideMark/>
          </w:tcPr>
          <w:p w:rsidR="00971BD1" w:rsidRPr="0062220B" w:rsidRDefault="00971BD1" w:rsidP="00DE28E3">
            <w:pPr>
              <w:pStyle w:val="Default"/>
              <w:spacing w:line="276" w:lineRule="auto"/>
              <w:jc w:val="both"/>
              <w:rPr>
                <w:bCs/>
                <w:szCs w:val="22"/>
              </w:rPr>
            </w:pPr>
            <w:r w:rsidRPr="0062220B">
              <w:rPr>
                <w:bCs/>
                <w:szCs w:val="22"/>
              </w:rPr>
              <w:t>45 Minutes</w:t>
            </w:r>
          </w:p>
        </w:tc>
        <w:tc>
          <w:tcPr>
            <w:tcW w:w="2212" w:type="dxa"/>
            <w:tcBorders>
              <w:top w:val="single" w:sz="6" w:space="0" w:color="000000"/>
              <w:left w:val="single" w:sz="6" w:space="0" w:color="000000"/>
              <w:bottom w:val="single" w:sz="6" w:space="0" w:color="000000"/>
              <w:right w:val="single" w:sz="6" w:space="0" w:color="000000"/>
            </w:tcBorders>
            <w:shd w:val="clear" w:color="auto" w:fill="auto"/>
            <w:hideMark/>
          </w:tcPr>
          <w:p w:rsidR="00971BD1" w:rsidRPr="0062220B" w:rsidRDefault="00971BD1" w:rsidP="00DE28E3">
            <w:pPr>
              <w:pStyle w:val="Default"/>
              <w:spacing w:line="276" w:lineRule="auto"/>
              <w:jc w:val="both"/>
              <w:rPr>
                <w:bCs/>
                <w:szCs w:val="22"/>
              </w:rPr>
            </w:pPr>
            <w:r w:rsidRPr="0062220B">
              <w:rPr>
                <w:bCs/>
                <w:szCs w:val="22"/>
              </w:rPr>
              <w:t xml:space="preserve">15 Minutes </w:t>
            </w:r>
          </w:p>
        </w:tc>
      </w:tr>
      <w:tr w:rsidR="00971BD1" w:rsidRPr="0062220B" w:rsidTr="000246FE">
        <w:trPr>
          <w:trHeight w:val="482"/>
          <w:jc w:val="center"/>
        </w:trPr>
        <w:tc>
          <w:tcPr>
            <w:tcW w:w="1240" w:type="dxa"/>
            <w:vMerge/>
            <w:tcBorders>
              <w:top w:val="single" w:sz="6" w:space="0" w:color="000000"/>
              <w:left w:val="single" w:sz="6" w:space="0" w:color="000000"/>
              <w:bottom w:val="single" w:sz="6" w:space="0" w:color="000000"/>
              <w:right w:val="single" w:sz="6" w:space="0" w:color="000000"/>
            </w:tcBorders>
            <w:vAlign w:val="center"/>
            <w:hideMark/>
          </w:tcPr>
          <w:p w:rsidR="00971BD1" w:rsidRPr="0062220B" w:rsidRDefault="00971BD1" w:rsidP="00DE28E3">
            <w:pPr>
              <w:pStyle w:val="Default"/>
              <w:spacing w:line="276" w:lineRule="auto"/>
              <w:jc w:val="both"/>
              <w:rPr>
                <w:bCs/>
                <w:szCs w:val="22"/>
              </w:rPr>
            </w:pPr>
          </w:p>
        </w:tc>
        <w:tc>
          <w:tcPr>
            <w:tcW w:w="1978" w:type="dxa"/>
            <w:tcBorders>
              <w:top w:val="single" w:sz="6" w:space="0" w:color="000000"/>
              <w:left w:val="single" w:sz="6" w:space="0" w:color="000000"/>
              <w:bottom w:val="single" w:sz="6" w:space="0" w:color="000000"/>
              <w:right w:val="single" w:sz="6" w:space="0" w:color="000000"/>
            </w:tcBorders>
            <w:shd w:val="clear" w:color="auto" w:fill="auto"/>
            <w:hideMark/>
          </w:tcPr>
          <w:p w:rsidR="00971BD1" w:rsidRPr="0062220B" w:rsidRDefault="00971BD1" w:rsidP="00DE28E3">
            <w:pPr>
              <w:pStyle w:val="Default"/>
              <w:spacing w:line="276" w:lineRule="auto"/>
              <w:jc w:val="both"/>
              <w:rPr>
                <w:bCs/>
                <w:szCs w:val="22"/>
              </w:rPr>
            </w:pPr>
            <w:r w:rsidRPr="0062220B">
              <w:rPr>
                <w:bCs/>
                <w:szCs w:val="22"/>
              </w:rPr>
              <w:t xml:space="preserve">At or After 1 PM to 2.30 PM </w:t>
            </w:r>
          </w:p>
        </w:tc>
        <w:tc>
          <w:tcPr>
            <w:tcW w:w="2765" w:type="dxa"/>
            <w:tcBorders>
              <w:top w:val="single" w:sz="6" w:space="0" w:color="000000"/>
              <w:left w:val="single" w:sz="6" w:space="0" w:color="000000"/>
              <w:bottom w:val="single" w:sz="6" w:space="0" w:color="000000"/>
              <w:right w:val="single" w:sz="6" w:space="0" w:color="000000"/>
            </w:tcBorders>
            <w:shd w:val="clear" w:color="auto" w:fill="auto"/>
            <w:hideMark/>
          </w:tcPr>
          <w:p w:rsidR="00971BD1" w:rsidRPr="0062220B" w:rsidRDefault="00971BD1" w:rsidP="00DE28E3">
            <w:pPr>
              <w:pStyle w:val="Default"/>
              <w:spacing w:line="276" w:lineRule="auto"/>
              <w:jc w:val="both"/>
              <w:rPr>
                <w:bCs/>
                <w:szCs w:val="22"/>
              </w:rPr>
            </w:pPr>
            <w:r w:rsidRPr="0062220B">
              <w:rPr>
                <w:bCs/>
                <w:szCs w:val="22"/>
              </w:rPr>
              <w:t>15 Minutes</w:t>
            </w:r>
          </w:p>
        </w:tc>
        <w:tc>
          <w:tcPr>
            <w:tcW w:w="2212" w:type="dxa"/>
            <w:tcBorders>
              <w:top w:val="single" w:sz="6" w:space="0" w:color="000000"/>
              <w:left w:val="single" w:sz="6" w:space="0" w:color="000000"/>
              <w:bottom w:val="single" w:sz="6" w:space="0" w:color="000000"/>
              <w:right w:val="single" w:sz="6" w:space="0" w:color="000000"/>
            </w:tcBorders>
            <w:shd w:val="clear" w:color="auto" w:fill="auto"/>
            <w:hideMark/>
          </w:tcPr>
          <w:p w:rsidR="00971BD1" w:rsidRPr="0062220B" w:rsidRDefault="00971BD1" w:rsidP="00DE28E3">
            <w:pPr>
              <w:pStyle w:val="Default"/>
              <w:spacing w:line="276" w:lineRule="auto"/>
              <w:jc w:val="both"/>
              <w:rPr>
                <w:bCs/>
                <w:szCs w:val="22"/>
              </w:rPr>
            </w:pPr>
            <w:r w:rsidRPr="0062220B">
              <w:rPr>
                <w:bCs/>
                <w:szCs w:val="22"/>
              </w:rPr>
              <w:t>15 Minutes</w:t>
            </w:r>
          </w:p>
        </w:tc>
      </w:tr>
      <w:tr w:rsidR="00971BD1" w:rsidRPr="0062220B" w:rsidTr="000246FE">
        <w:trPr>
          <w:trHeight w:val="482"/>
          <w:jc w:val="center"/>
        </w:trPr>
        <w:tc>
          <w:tcPr>
            <w:tcW w:w="1240" w:type="dxa"/>
            <w:vMerge/>
            <w:tcBorders>
              <w:top w:val="single" w:sz="6" w:space="0" w:color="000000"/>
              <w:left w:val="single" w:sz="6" w:space="0" w:color="000000"/>
              <w:bottom w:val="single" w:sz="6" w:space="0" w:color="000000"/>
              <w:right w:val="single" w:sz="6" w:space="0" w:color="000000"/>
            </w:tcBorders>
            <w:vAlign w:val="center"/>
            <w:hideMark/>
          </w:tcPr>
          <w:p w:rsidR="00971BD1" w:rsidRPr="0062220B" w:rsidRDefault="00971BD1" w:rsidP="00DE28E3">
            <w:pPr>
              <w:pStyle w:val="Default"/>
              <w:spacing w:line="276" w:lineRule="auto"/>
              <w:jc w:val="both"/>
              <w:rPr>
                <w:bCs/>
                <w:szCs w:val="22"/>
              </w:rPr>
            </w:pPr>
          </w:p>
        </w:tc>
        <w:tc>
          <w:tcPr>
            <w:tcW w:w="1978" w:type="dxa"/>
            <w:tcBorders>
              <w:top w:val="single" w:sz="6" w:space="0" w:color="000000"/>
              <w:left w:val="single" w:sz="6" w:space="0" w:color="000000"/>
              <w:bottom w:val="single" w:sz="6" w:space="0" w:color="000000"/>
              <w:right w:val="single" w:sz="6" w:space="0" w:color="000000"/>
            </w:tcBorders>
            <w:shd w:val="clear" w:color="auto" w:fill="auto"/>
            <w:hideMark/>
          </w:tcPr>
          <w:p w:rsidR="00971BD1" w:rsidRPr="0062220B" w:rsidRDefault="00971BD1" w:rsidP="00DE28E3">
            <w:pPr>
              <w:pStyle w:val="Default"/>
              <w:spacing w:line="276" w:lineRule="auto"/>
              <w:jc w:val="both"/>
              <w:rPr>
                <w:bCs/>
                <w:szCs w:val="22"/>
              </w:rPr>
            </w:pPr>
            <w:r w:rsidRPr="0062220B">
              <w:rPr>
                <w:bCs/>
                <w:szCs w:val="22"/>
              </w:rPr>
              <w:t>At or after 2.30 PM</w:t>
            </w:r>
          </w:p>
        </w:tc>
        <w:tc>
          <w:tcPr>
            <w:tcW w:w="2765" w:type="dxa"/>
            <w:tcBorders>
              <w:top w:val="single" w:sz="6" w:space="0" w:color="000000"/>
              <w:left w:val="single" w:sz="6" w:space="0" w:color="000000"/>
              <w:bottom w:val="single" w:sz="6" w:space="0" w:color="000000"/>
              <w:right w:val="single" w:sz="6" w:space="0" w:color="000000"/>
            </w:tcBorders>
            <w:shd w:val="clear" w:color="auto" w:fill="auto"/>
            <w:hideMark/>
          </w:tcPr>
          <w:p w:rsidR="00971BD1" w:rsidRPr="0062220B" w:rsidRDefault="00971BD1" w:rsidP="00DE28E3">
            <w:pPr>
              <w:pStyle w:val="Default"/>
              <w:spacing w:line="276" w:lineRule="auto"/>
              <w:jc w:val="both"/>
              <w:rPr>
                <w:bCs/>
                <w:szCs w:val="22"/>
              </w:rPr>
            </w:pPr>
            <w:r w:rsidRPr="0062220B">
              <w:rPr>
                <w:bCs/>
                <w:szCs w:val="22"/>
              </w:rPr>
              <w:t>No Halt</w:t>
            </w:r>
          </w:p>
        </w:tc>
        <w:tc>
          <w:tcPr>
            <w:tcW w:w="2212" w:type="dxa"/>
            <w:tcBorders>
              <w:top w:val="single" w:sz="6" w:space="0" w:color="000000"/>
              <w:left w:val="single" w:sz="6" w:space="0" w:color="000000"/>
              <w:bottom w:val="single" w:sz="6" w:space="0" w:color="000000"/>
              <w:right w:val="single" w:sz="6" w:space="0" w:color="000000"/>
            </w:tcBorders>
            <w:shd w:val="clear" w:color="auto" w:fill="auto"/>
            <w:hideMark/>
          </w:tcPr>
          <w:p w:rsidR="00971BD1" w:rsidRPr="0062220B" w:rsidRDefault="00971BD1" w:rsidP="00DE28E3">
            <w:pPr>
              <w:pStyle w:val="Default"/>
              <w:spacing w:line="276" w:lineRule="auto"/>
              <w:jc w:val="both"/>
              <w:rPr>
                <w:bCs/>
                <w:szCs w:val="22"/>
              </w:rPr>
            </w:pPr>
            <w:r w:rsidRPr="0062220B">
              <w:rPr>
                <w:bCs/>
                <w:szCs w:val="22"/>
              </w:rPr>
              <w:t>-</w:t>
            </w:r>
          </w:p>
        </w:tc>
      </w:tr>
      <w:tr w:rsidR="00971BD1" w:rsidRPr="0062220B" w:rsidTr="000246FE">
        <w:trPr>
          <w:trHeight w:val="235"/>
          <w:jc w:val="center"/>
        </w:trPr>
        <w:tc>
          <w:tcPr>
            <w:tcW w:w="1240"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971BD1" w:rsidRPr="0062220B" w:rsidRDefault="00971BD1" w:rsidP="00DE28E3">
            <w:pPr>
              <w:pStyle w:val="Default"/>
              <w:spacing w:line="276" w:lineRule="auto"/>
              <w:jc w:val="both"/>
              <w:rPr>
                <w:bCs/>
                <w:szCs w:val="22"/>
              </w:rPr>
            </w:pPr>
            <w:r w:rsidRPr="0062220B">
              <w:rPr>
                <w:bCs/>
                <w:szCs w:val="22"/>
              </w:rPr>
              <w:t>15 %</w:t>
            </w:r>
          </w:p>
        </w:tc>
        <w:tc>
          <w:tcPr>
            <w:tcW w:w="1978" w:type="dxa"/>
            <w:tcBorders>
              <w:top w:val="single" w:sz="6" w:space="0" w:color="000000"/>
              <w:left w:val="single" w:sz="6" w:space="0" w:color="000000"/>
              <w:bottom w:val="single" w:sz="6" w:space="0" w:color="000000"/>
              <w:right w:val="single" w:sz="6" w:space="0" w:color="000000"/>
            </w:tcBorders>
            <w:shd w:val="clear" w:color="auto" w:fill="auto"/>
            <w:hideMark/>
          </w:tcPr>
          <w:p w:rsidR="00971BD1" w:rsidRPr="0062220B" w:rsidRDefault="00971BD1" w:rsidP="00DE28E3">
            <w:pPr>
              <w:pStyle w:val="Default"/>
              <w:spacing w:line="276" w:lineRule="auto"/>
              <w:jc w:val="both"/>
              <w:rPr>
                <w:bCs/>
                <w:szCs w:val="22"/>
              </w:rPr>
            </w:pPr>
            <w:r w:rsidRPr="0062220B">
              <w:rPr>
                <w:bCs/>
                <w:szCs w:val="22"/>
              </w:rPr>
              <w:t>Before 1 PM</w:t>
            </w:r>
          </w:p>
        </w:tc>
        <w:tc>
          <w:tcPr>
            <w:tcW w:w="2765" w:type="dxa"/>
            <w:tcBorders>
              <w:top w:val="single" w:sz="6" w:space="0" w:color="000000"/>
              <w:left w:val="single" w:sz="6" w:space="0" w:color="000000"/>
              <w:bottom w:val="single" w:sz="6" w:space="0" w:color="000000"/>
              <w:right w:val="single" w:sz="6" w:space="0" w:color="000000"/>
            </w:tcBorders>
            <w:shd w:val="clear" w:color="auto" w:fill="auto"/>
            <w:hideMark/>
          </w:tcPr>
          <w:p w:rsidR="00971BD1" w:rsidRPr="0062220B" w:rsidRDefault="00971BD1" w:rsidP="00DE28E3">
            <w:pPr>
              <w:pStyle w:val="Default"/>
              <w:spacing w:line="276" w:lineRule="auto"/>
              <w:jc w:val="both"/>
              <w:rPr>
                <w:bCs/>
                <w:szCs w:val="22"/>
              </w:rPr>
            </w:pPr>
            <w:r w:rsidRPr="0062220B">
              <w:rPr>
                <w:bCs/>
                <w:szCs w:val="22"/>
              </w:rPr>
              <w:t>1 Hour 45 minutes</w:t>
            </w:r>
          </w:p>
        </w:tc>
        <w:tc>
          <w:tcPr>
            <w:tcW w:w="2212" w:type="dxa"/>
            <w:tcBorders>
              <w:top w:val="single" w:sz="6" w:space="0" w:color="000000"/>
              <w:left w:val="single" w:sz="6" w:space="0" w:color="000000"/>
              <w:bottom w:val="single" w:sz="6" w:space="0" w:color="000000"/>
              <w:right w:val="single" w:sz="6" w:space="0" w:color="000000"/>
            </w:tcBorders>
            <w:shd w:val="clear" w:color="auto" w:fill="auto"/>
            <w:hideMark/>
          </w:tcPr>
          <w:p w:rsidR="00971BD1" w:rsidRPr="0062220B" w:rsidRDefault="00971BD1" w:rsidP="00DE28E3">
            <w:pPr>
              <w:pStyle w:val="Default"/>
              <w:spacing w:line="276" w:lineRule="auto"/>
              <w:jc w:val="both"/>
              <w:rPr>
                <w:bCs/>
                <w:szCs w:val="22"/>
              </w:rPr>
            </w:pPr>
            <w:r w:rsidRPr="0062220B">
              <w:rPr>
                <w:bCs/>
                <w:szCs w:val="22"/>
              </w:rPr>
              <w:t>15 Minutes</w:t>
            </w:r>
          </w:p>
        </w:tc>
      </w:tr>
      <w:tr w:rsidR="00971BD1" w:rsidRPr="0062220B" w:rsidTr="000246FE">
        <w:trPr>
          <w:trHeight w:val="493"/>
          <w:jc w:val="center"/>
        </w:trPr>
        <w:tc>
          <w:tcPr>
            <w:tcW w:w="1240" w:type="dxa"/>
            <w:vMerge/>
            <w:tcBorders>
              <w:top w:val="single" w:sz="6" w:space="0" w:color="000000"/>
              <w:left w:val="single" w:sz="6" w:space="0" w:color="000000"/>
              <w:bottom w:val="single" w:sz="6" w:space="0" w:color="000000"/>
              <w:right w:val="single" w:sz="6" w:space="0" w:color="000000"/>
            </w:tcBorders>
            <w:vAlign w:val="center"/>
            <w:hideMark/>
          </w:tcPr>
          <w:p w:rsidR="00971BD1" w:rsidRPr="0062220B" w:rsidRDefault="00971BD1" w:rsidP="00DE28E3">
            <w:pPr>
              <w:pStyle w:val="Default"/>
              <w:spacing w:line="276" w:lineRule="auto"/>
              <w:jc w:val="both"/>
              <w:rPr>
                <w:bCs/>
                <w:szCs w:val="22"/>
              </w:rPr>
            </w:pPr>
          </w:p>
        </w:tc>
        <w:tc>
          <w:tcPr>
            <w:tcW w:w="1978" w:type="dxa"/>
            <w:tcBorders>
              <w:top w:val="single" w:sz="6" w:space="0" w:color="000000"/>
              <w:left w:val="single" w:sz="6" w:space="0" w:color="000000"/>
              <w:bottom w:val="single" w:sz="6" w:space="0" w:color="000000"/>
              <w:right w:val="single" w:sz="6" w:space="0" w:color="000000"/>
            </w:tcBorders>
            <w:shd w:val="clear" w:color="auto" w:fill="auto"/>
            <w:hideMark/>
          </w:tcPr>
          <w:p w:rsidR="00971BD1" w:rsidRPr="0062220B" w:rsidRDefault="00971BD1" w:rsidP="00DE28E3">
            <w:pPr>
              <w:pStyle w:val="Default"/>
              <w:spacing w:line="276" w:lineRule="auto"/>
              <w:jc w:val="both"/>
              <w:rPr>
                <w:bCs/>
                <w:szCs w:val="22"/>
              </w:rPr>
            </w:pPr>
            <w:r w:rsidRPr="0062220B">
              <w:rPr>
                <w:bCs/>
                <w:szCs w:val="22"/>
              </w:rPr>
              <w:t>At or after 1 PM before 2 PM</w:t>
            </w:r>
          </w:p>
        </w:tc>
        <w:tc>
          <w:tcPr>
            <w:tcW w:w="2765" w:type="dxa"/>
            <w:tcBorders>
              <w:top w:val="single" w:sz="6" w:space="0" w:color="000000"/>
              <w:left w:val="single" w:sz="6" w:space="0" w:color="000000"/>
              <w:bottom w:val="single" w:sz="6" w:space="0" w:color="000000"/>
              <w:right w:val="single" w:sz="6" w:space="0" w:color="000000"/>
            </w:tcBorders>
            <w:shd w:val="clear" w:color="auto" w:fill="auto"/>
            <w:hideMark/>
          </w:tcPr>
          <w:p w:rsidR="00971BD1" w:rsidRPr="0062220B" w:rsidRDefault="00971BD1" w:rsidP="00DE28E3">
            <w:pPr>
              <w:pStyle w:val="Default"/>
              <w:spacing w:line="276" w:lineRule="auto"/>
              <w:jc w:val="both"/>
              <w:rPr>
                <w:bCs/>
                <w:szCs w:val="22"/>
              </w:rPr>
            </w:pPr>
            <w:r w:rsidRPr="0062220B">
              <w:rPr>
                <w:bCs/>
                <w:szCs w:val="22"/>
              </w:rPr>
              <w:t>45 Minutes</w:t>
            </w:r>
          </w:p>
        </w:tc>
        <w:tc>
          <w:tcPr>
            <w:tcW w:w="2212" w:type="dxa"/>
            <w:tcBorders>
              <w:top w:val="single" w:sz="6" w:space="0" w:color="000000"/>
              <w:left w:val="single" w:sz="6" w:space="0" w:color="000000"/>
              <w:bottom w:val="single" w:sz="6" w:space="0" w:color="000000"/>
              <w:right w:val="single" w:sz="6" w:space="0" w:color="000000"/>
            </w:tcBorders>
            <w:shd w:val="clear" w:color="auto" w:fill="auto"/>
            <w:hideMark/>
          </w:tcPr>
          <w:p w:rsidR="00971BD1" w:rsidRPr="0062220B" w:rsidRDefault="00971BD1" w:rsidP="00DE28E3">
            <w:pPr>
              <w:pStyle w:val="Default"/>
              <w:spacing w:line="276" w:lineRule="auto"/>
              <w:jc w:val="both"/>
              <w:rPr>
                <w:bCs/>
                <w:szCs w:val="22"/>
              </w:rPr>
            </w:pPr>
            <w:r w:rsidRPr="0062220B">
              <w:rPr>
                <w:bCs/>
                <w:szCs w:val="22"/>
              </w:rPr>
              <w:t xml:space="preserve">15 Minutes </w:t>
            </w:r>
          </w:p>
        </w:tc>
      </w:tr>
      <w:tr w:rsidR="00971BD1" w:rsidRPr="0062220B" w:rsidTr="000246FE">
        <w:trPr>
          <w:trHeight w:val="482"/>
          <w:jc w:val="center"/>
        </w:trPr>
        <w:tc>
          <w:tcPr>
            <w:tcW w:w="1240" w:type="dxa"/>
            <w:vMerge/>
            <w:tcBorders>
              <w:top w:val="single" w:sz="6" w:space="0" w:color="000000"/>
              <w:left w:val="single" w:sz="6" w:space="0" w:color="000000"/>
              <w:bottom w:val="single" w:sz="6" w:space="0" w:color="000000"/>
              <w:right w:val="single" w:sz="6" w:space="0" w:color="000000"/>
            </w:tcBorders>
            <w:vAlign w:val="center"/>
            <w:hideMark/>
          </w:tcPr>
          <w:p w:rsidR="00971BD1" w:rsidRPr="0062220B" w:rsidRDefault="00971BD1" w:rsidP="00DE28E3">
            <w:pPr>
              <w:pStyle w:val="Default"/>
              <w:spacing w:line="276" w:lineRule="auto"/>
              <w:jc w:val="both"/>
              <w:rPr>
                <w:bCs/>
                <w:szCs w:val="22"/>
              </w:rPr>
            </w:pPr>
          </w:p>
        </w:tc>
        <w:tc>
          <w:tcPr>
            <w:tcW w:w="1978" w:type="dxa"/>
            <w:tcBorders>
              <w:top w:val="single" w:sz="6" w:space="0" w:color="000000"/>
              <w:left w:val="single" w:sz="6" w:space="0" w:color="000000"/>
              <w:bottom w:val="single" w:sz="6" w:space="0" w:color="000000"/>
              <w:right w:val="single" w:sz="6" w:space="0" w:color="000000"/>
            </w:tcBorders>
            <w:shd w:val="clear" w:color="auto" w:fill="auto"/>
            <w:hideMark/>
          </w:tcPr>
          <w:p w:rsidR="00971BD1" w:rsidRPr="0062220B" w:rsidRDefault="00971BD1" w:rsidP="00DE28E3">
            <w:pPr>
              <w:pStyle w:val="Default"/>
              <w:spacing w:line="276" w:lineRule="auto"/>
              <w:jc w:val="both"/>
              <w:rPr>
                <w:bCs/>
                <w:szCs w:val="22"/>
              </w:rPr>
            </w:pPr>
            <w:r w:rsidRPr="0062220B">
              <w:rPr>
                <w:bCs/>
                <w:szCs w:val="22"/>
              </w:rPr>
              <w:t>On or after 2 PM</w:t>
            </w:r>
          </w:p>
        </w:tc>
        <w:tc>
          <w:tcPr>
            <w:tcW w:w="2765" w:type="dxa"/>
            <w:tcBorders>
              <w:top w:val="single" w:sz="6" w:space="0" w:color="000000"/>
              <w:left w:val="single" w:sz="6" w:space="0" w:color="000000"/>
              <w:bottom w:val="single" w:sz="6" w:space="0" w:color="000000"/>
              <w:right w:val="single" w:sz="6" w:space="0" w:color="000000"/>
            </w:tcBorders>
            <w:shd w:val="clear" w:color="auto" w:fill="auto"/>
            <w:hideMark/>
          </w:tcPr>
          <w:p w:rsidR="00971BD1" w:rsidRPr="0062220B" w:rsidRDefault="00971BD1" w:rsidP="00DE28E3">
            <w:pPr>
              <w:pStyle w:val="Default"/>
              <w:spacing w:line="276" w:lineRule="auto"/>
              <w:jc w:val="both"/>
              <w:rPr>
                <w:bCs/>
                <w:szCs w:val="22"/>
              </w:rPr>
            </w:pPr>
            <w:r w:rsidRPr="0062220B">
              <w:rPr>
                <w:bCs/>
                <w:szCs w:val="22"/>
              </w:rPr>
              <w:t>Trading halt for the remainder of the day.</w:t>
            </w:r>
          </w:p>
        </w:tc>
        <w:tc>
          <w:tcPr>
            <w:tcW w:w="2212" w:type="dxa"/>
            <w:tcBorders>
              <w:top w:val="single" w:sz="6" w:space="0" w:color="000000"/>
              <w:left w:val="single" w:sz="6" w:space="0" w:color="000000"/>
              <w:bottom w:val="single" w:sz="6" w:space="0" w:color="000000"/>
              <w:right w:val="single" w:sz="6" w:space="0" w:color="000000"/>
            </w:tcBorders>
            <w:shd w:val="clear" w:color="auto" w:fill="auto"/>
            <w:hideMark/>
          </w:tcPr>
          <w:p w:rsidR="00971BD1" w:rsidRPr="0062220B" w:rsidRDefault="00971BD1" w:rsidP="00DE28E3">
            <w:pPr>
              <w:pStyle w:val="Default"/>
              <w:spacing w:line="276" w:lineRule="auto"/>
              <w:jc w:val="both"/>
              <w:rPr>
                <w:bCs/>
                <w:szCs w:val="22"/>
              </w:rPr>
            </w:pPr>
            <w:r w:rsidRPr="0062220B">
              <w:rPr>
                <w:bCs/>
                <w:szCs w:val="22"/>
              </w:rPr>
              <w:t>-</w:t>
            </w:r>
          </w:p>
        </w:tc>
      </w:tr>
      <w:tr w:rsidR="00971BD1" w:rsidRPr="0062220B" w:rsidTr="000246FE">
        <w:trPr>
          <w:trHeight w:val="471"/>
          <w:jc w:val="center"/>
        </w:trPr>
        <w:tc>
          <w:tcPr>
            <w:tcW w:w="1240" w:type="dxa"/>
            <w:tcBorders>
              <w:top w:val="single" w:sz="6" w:space="0" w:color="000000"/>
              <w:left w:val="single" w:sz="6" w:space="0" w:color="000000"/>
              <w:bottom w:val="single" w:sz="6" w:space="0" w:color="000000"/>
              <w:right w:val="single" w:sz="6" w:space="0" w:color="000000"/>
            </w:tcBorders>
            <w:shd w:val="clear" w:color="auto" w:fill="auto"/>
            <w:hideMark/>
          </w:tcPr>
          <w:p w:rsidR="00971BD1" w:rsidRPr="0062220B" w:rsidRDefault="00971BD1" w:rsidP="00DE28E3">
            <w:pPr>
              <w:pStyle w:val="Default"/>
              <w:spacing w:line="276" w:lineRule="auto"/>
              <w:jc w:val="both"/>
              <w:rPr>
                <w:bCs/>
                <w:szCs w:val="22"/>
              </w:rPr>
            </w:pPr>
            <w:r w:rsidRPr="0062220B">
              <w:rPr>
                <w:bCs/>
                <w:szCs w:val="22"/>
              </w:rPr>
              <w:t>20 %</w:t>
            </w:r>
          </w:p>
        </w:tc>
        <w:tc>
          <w:tcPr>
            <w:tcW w:w="1978" w:type="dxa"/>
            <w:tcBorders>
              <w:top w:val="single" w:sz="6" w:space="0" w:color="000000"/>
              <w:left w:val="single" w:sz="6" w:space="0" w:color="000000"/>
              <w:bottom w:val="single" w:sz="6" w:space="0" w:color="000000"/>
              <w:right w:val="single" w:sz="6" w:space="0" w:color="000000"/>
            </w:tcBorders>
            <w:shd w:val="clear" w:color="auto" w:fill="auto"/>
            <w:hideMark/>
          </w:tcPr>
          <w:p w:rsidR="00971BD1" w:rsidRPr="0062220B" w:rsidRDefault="00971BD1" w:rsidP="00DE28E3">
            <w:pPr>
              <w:pStyle w:val="Default"/>
              <w:spacing w:line="276" w:lineRule="auto"/>
              <w:jc w:val="both"/>
              <w:rPr>
                <w:bCs/>
                <w:szCs w:val="22"/>
              </w:rPr>
            </w:pPr>
            <w:r w:rsidRPr="0062220B">
              <w:rPr>
                <w:bCs/>
                <w:szCs w:val="22"/>
              </w:rPr>
              <w:t>Any time of the day</w:t>
            </w:r>
          </w:p>
        </w:tc>
        <w:tc>
          <w:tcPr>
            <w:tcW w:w="2765" w:type="dxa"/>
            <w:tcBorders>
              <w:top w:val="single" w:sz="6" w:space="0" w:color="000000"/>
              <w:left w:val="single" w:sz="6" w:space="0" w:color="000000"/>
              <w:bottom w:val="single" w:sz="6" w:space="0" w:color="000000"/>
              <w:right w:val="single" w:sz="6" w:space="0" w:color="000000"/>
            </w:tcBorders>
            <w:shd w:val="clear" w:color="auto" w:fill="auto"/>
            <w:hideMark/>
          </w:tcPr>
          <w:p w:rsidR="00971BD1" w:rsidRPr="0062220B" w:rsidRDefault="00971BD1" w:rsidP="00DE28E3">
            <w:pPr>
              <w:pStyle w:val="Default"/>
              <w:spacing w:line="276" w:lineRule="auto"/>
              <w:jc w:val="both"/>
              <w:rPr>
                <w:bCs/>
                <w:szCs w:val="22"/>
              </w:rPr>
            </w:pPr>
            <w:r w:rsidRPr="0062220B">
              <w:rPr>
                <w:bCs/>
                <w:szCs w:val="22"/>
              </w:rPr>
              <w:t>Trading halt for the remainder of the day.</w:t>
            </w:r>
          </w:p>
        </w:tc>
        <w:tc>
          <w:tcPr>
            <w:tcW w:w="2212" w:type="dxa"/>
            <w:tcBorders>
              <w:top w:val="single" w:sz="6" w:space="0" w:color="000000"/>
              <w:left w:val="single" w:sz="6" w:space="0" w:color="000000"/>
              <w:bottom w:val="single" w:sz="6" w:space="0" w:color="000000"/>
              <w:right w:val="single" w:sz="6" w:space="0" w:color="000000"/>
            </w:tcBorders>
            <w:shd w:val="clear" w:color="auto" w:fill="auto"/>
            <w:hideMark/>
          </w:tcPr>
          <w:p w:rsidR="00971BD1" w:rsidRPr="0062220B" w:rsidRDefault="00971BD1" w:rsidP="00DE28E3">
            <w:pPr>
              <w:pStyle w:val="Default"/>
              <w:spacing w:line="276" w:lineRule="auto"/>
              <w:jc w:val="both"/>
              <w:rPr>
                <w:bCs/>
                <w:szCs w:val="22"/>
              </w:rPr>
            </w:pPr>
            <w:r w:rsidRPr="0062220B">
              <w:rPr>
                <w:bCs/>
                <w:szCs w:val="22"/>
              </w:rPr>
              <w:t>-</w:t>
            </w:r>
          </w:p>
        </w:tc>
      </w:tr>
    </w:tbl>
    <w:p w:rsidR="00971BD1" w:rsidRPr="00644EFC" w:rsidRDefault="00971BD1" w:rsidP="00DE28E3">
      <w:pPr>
        <w:pStyle w:val="Default"/>
        <w:spacing w:line="276" w:lineRule="auto"/>
        <w:jc w:val="both"/>
        <w:rPr>
          <w:bCs/>
          <w:sz w:val="23"/>
          <w:szCs w:val="23"/>
        </w:rPr>
      </w:pPr>
      <w:r w:rsidRPr="00644EFC">
        <w:rPr>
          <w:bCs/>
          <w:sz w:val="23"/>
          <w:szCs w:val="23"/>
        </w:rPr>
        <w:t> </w:t>
      </w:r>
    </w:p>
    <w:p w:rsidR="000246FE" w:rsidRDefault="00573B40" w:rsidP="000246FE">
      <w:pPr>
        <w:pStyle w:val="Default"/>
        <w:spacing w:line="276" w:lineRule="auto"/>
        <w:ind w:left="426"/>
        <w:jc w:val="both"/>
        <w:rPr>
          <w:rStyle w:val="Hyperlink"/>
          <w:b/>
          <w:bCs/>
          <w:sz w:val="23"/>
          <w:szCs w:val="23"/>
        </w:rPr>
      </w:pPr>
      <w:hyperlink r:id="rId18" w:history="1">
        <w:r w:rsidR="00DF277B">
          <w:rPr>
            <w:rStyle w:val="Hyperlink"/>
            <w:b/>
            <w:bCs/>
            <w:sz w:val="23"/>
            <w:szCs w:val="23"/>
          </w:rPr>
          <w:t>Index based market wide circuit breaker from October 14, 2013 onwards</w:t>
        </w:r>
      </w:hyperlink>
      <w:bookmarkStart w:id="25" w:name="_4._Trading_and"/>
      <w:bookmarkEnd w:id="25"/>
    </w:p>
    <w:p w:rsidR="00A9208B" w:rsidRPr="000246FE" w:rsidRDefault="00AB200A" w:rsidP="000246FE">
      <w:pPr>
        <w:pStyle w:val="Heading1"/>
        <w:jc w:val="both"/>
        <w:rPr>
          <w:color w:val="auto"/>
          <w:sz w:val="24"/>
          <w:szCs w:val="24"/>
        </w:rPr>
      </w:pPr>
      <w:r w:rsidRPr="00F25068">
        <w:rPr>
          <w:color w:val="auto"/>
          <w:sz w:val="24"/>
          <w:szCs w:val="24"/>
        </w:rPr>
        <w:t xml:space="preserve">4. </w:t>
      </w:r>
      <w:r w:rsidR="0028301D" w:rsidRPr="00F25068">
        <w:rPr>
          <w:color w:val="auto"/>
          <w:sz w:val="24"/>
          <w:szCs w:val="24"/>
        </w:rPr>
        <w:t>Trading and Surveillance Obligations for Trading members</w:t>
      </w:r>
    </w:p>
    <w:p w:rsidR="0028301D" w:rsidRPr="0062220B" w:rsidRDefault="0028301D" w:rsidP="00DE28E3">
      <w:pPr>
        <w:pStyle w:val="Default"/>
        <w:spacing w:line="276" w:lineRule="auto"/>
        <w:jc w:val="both"/>
        <w:rPr>
          <w:b/>
          <w:bCs/>
          <w:color w:val="auto"/>
          <w:sz w:val="22"/>
          <w:szCs w:val="22"/>
        </w:rPr>
      </w:pPr>
    </w:p>
    <w:p w:rsidR="003D2FF2" w:rsidRPr="0062220B" w:rsidRDefault="0028301D" w:rsidP="00DE28E3">
      <w:pPr>
        <w:pStyle w:val="Default"/>
        <w:spacing w:line="276" w:lineRule="auto"/>
        <w:ind w:left="426"/>
        <w:jc w:val="both"/>
        <w:rPr>
          <w:b/>
          <w:bCs/>
          <w:color w:val="auto"/>
          <w:sz w:val="22"/>
          <w:szCs w:val="22"/>
        </w:rPr>
      </w:pPr>
      <w:r w:rsidRPr="0062220B">
        <w:rPr>
          <w:bCs/>
          <w:color w:val="auto"/>
          <w:sz w:val="22"/>
          <w:szCs w:val="22"/>
        </w:rPr>
        <w:t>The Exchange has provided a facility for</w:t>
      </w:r>
      <w:r w:rsidRPr="0062220B">
        <w:rPr>
          <w:b/>
          <w:bCs/>
          <w:color w:val="auto"/>
          <w:sz w:val="22"/>
          <w:szCs w:val="22"/>
        </w:rPr>
        <w:t xml:space="preserve"> </w:t>
      </w:r>
      <w:r w:rsidRPr="0062220B">
        <w:rPr>
          <w:color w:val="auto"/>
          <w:sz w:val="22"/>
          <w:szCs w:val="22"/>
          <w:shd w:val="clear" w:color="auto" w:fill="FFFFFF"/>
        </w:rPr>
        <w:t>effective surveillance at the</w:t>
      </w:r>
      <w:r w:rsidR="003F6689" w:rsidRPr="0062220B">
        <w:rPr>
          <w:color w:val="auto"/>
          <w:sz w:val="22"/>
          <w:szCs w:val="22"/>
          <w:shd w:val="clear" w:color="auto" w:fill="FFFFFF"/>
        </w:rPr>
        <w:t xml:space="preserve"> member level wherein the </w:t>
      </w:r>
      <w:r w:rsidRPr="0062220B">
        <w:rPr>
          <w:color w:val="auto"/>
          <w:sz w:val="22"/>
          <w:szCs w:val="22"/>
          <w:shd w:val="clear" w:color="auto" w:fill="FFFFFF"/>
        </w:rPr>
        <w:t>Exchange has derived the transactional alerts that would be downloaded to the trading members</w:t>
      </w:r>
      <w:r w:rsidR="003D2FF2" w:rsidRPr="0062220B">
        <w:rPr>
          <w:color w:val="auto"/>
          <w:sz w:val="22"/>
          <w:szCs w:val="22"/>
          <w:shd w:val="clear" w:color="auto" w:fill="FFFFFF"/>
        </w:rPr>
        <w:t xml:space="preserve"> which </w:t>
      </w:r>
      <w:r w:rsidRPr="0062220B">
        <w:rPr>
          <w:color w:val="auto"/>
          <w:sz w:val="22"/>
          <w:szCs w:val="22"/>
          <w:shd w:val="clear" w:color="auto" w:fill="FFFFFF"/>
        </w:rPr>
        <w:t>will facilitate the trading members to effectively monitor the trading activity of their clients</w:t>
      </w:r>
    </w:p>
    <w:p w:rsidR="003D2FF2" w:rsidRPr="000246FE" w:rsidRDefault="003D2FF2" w:rsidP="00DE28E3">
      <w:pPr>
        <w:pStyle w:val="Default"/>
        <w:spacing w:line="276" w:lineRule="auto"/>
        <w:jc w:val="both"/>
        <w:rPr>
          <w:b/>
          <w:bCs/>
          <w:color w:val="auto"/>
          <w:sz w:val="4"/>
        </w:rPr>
      </w:pPr>
    </w:p>
    <w:p w:rsidR="003D2FF2" w:rsidRPr="00644EFC" w:rsidRDefault="0028301D" w:rsidP="00DE28E3">
      <w:pPr>
        <w:pStyle w:val="Default"/>
        <w:spacing w:line="276" w:lineRule="auto"/>
        <w:ind w:left="426"/>
        <w:jc w:val="both"/>
        <w:rPr>
          <w:rStyle w:val="Hyperlink"/>
          <w:b/>
          <w:bCs/>
          <w:sz w:val="23"/>
          <w:szCs w:val="23"/>
        </w:rPr>
      </w:pPr>
      <w:r w:rsidRPr="00644EFC">
        <w:rPr>
          <w:rStyle w:val="Hyperlink"/>
          <w:sz w:val="23"/>
          <w:szCs w:val="23"/>
        </w:rPr>
        <w:t xml:space="preserve"> </w:t>
      </w:r>
      <w:hyperlink r:id="rId19" w:history="1">
        <w:r w:rsidR="00DF277B">
          <w:rPr>
            <w:rStyle w:val="Hyperlink"/>
            <w:b/>
            <w:bCs/>
            <w:sz w:val="23"/>
            <w:szCs w:val="23"/>
          </w:rPr>
          <w:t>Surveillance Obligations for Trading Members</w:t>
        </w:r>
      </w:hyperlink>
    </w:p>
    <w:p w:rsidR="003D2FF2" w:rsidRPr="00644EFC" w:rsidRDefault="003D2FF2" w:rsidP="00DE28E3">
      <w:pPr>
        <w:pStyle w:val="Default"/>
        <w:spacing w:line="276" w:lineRule="auto"/>
        <w:ind w:left="284"/>
        <w:jc w:val="both"/>
        <w:rPr>
          <w:b/>
          <w:bCs/>
          <w:color w:val="auto"/>
        </w:rPr>
      </w:pPr>
    </w:p>
    <w:p w:rsidR="00D23216" w:rsidRPr="00644EFC" w:rsidRDefault="00AB58D3" w:rsidP="00DE28E3">
      <w:pPr>
        <w:pStyle w:val="Default"/>
        <w:spacing w:line="276" w:lineRule="auto"/>
        <w:ind w:left="426"/>
        <w:jc w:val="both"/>
        <w:rPr>
          <w:b/>
          <w:bCs/>
          <w:color w:val="auto"/>
        </w:rPr>
      </w:pPr>
      <w:r w:rsidRPr="00644EFC">
        <w:rPr>
          <w:b/>
          <w:bCs/>
          <w:color w:val="auto"/>
        </w:rPr>
        <w:t>The same was made available to the trading members from April 02,2013</w:t>
      </w:r>
    </w:p>
    <w:p w:rsidR="00D23216" w:rsidRPr="0062220B" w:rsidRDefault="00827D45" w:rsidP="00F25068">
      <w:pPr>
        <w:pStyle w:val="Heading1"/>
        <w:jc w:val="both"/>
        <w:rPr>
          <w:color w:val="auto"/>
          <w:sz w:val="24"/>
          <w:szCs w:val="24"/>
        </w:rPr>
      </w:pPr>
      <w:bookmarkStart w:id="26" w:name="_5._Regulatory_Disclosures"/>
      <w:bookmarkEnd w:id="26"/>
      <w:r w:rsidRPr="00F25068">
        <w:rPr>
          <w:color w:val="auto"/>
          <w:sz w:val="24"/>
          <w:szCs w:val="24"/>
        </w:rPr>
        <w:t xml:space="preserve">5. </w:t>
      </w:r>
      <w:r w:rsidR="001732B2" w:rsidRPr="00F25068">
        <w:rPr>
          <w:color w:val="auto"/>
          <w:sz w:val="24"/>
          <w:szCs w:val="24"/>
        </w:rPr>
        <w:t xml:space="preserve">Regulatory </w:t>
      </w:r>
      <w:r w:rsidRPr="00F25068">
        <w:rPr>
          <w:color w:val="auto"/>
          <w:sz w:val="24"/>
          <w:szCs w:val="24"/>
        </w:rPr>
        <w:t>Disclosures Made by the Exchange</w:t>
      </w:r>
    </w:p>
    <w:p w:rsidR="00D23216" w:rsidRPr="00644EFC" w:rsidRDefault="009F2EB3" w:rsidP="0062220B">
      <w:pPr>
        <w:pStyle w:val="Default"/>
        <w:spacing w:line="276" w:lineRule="auto"/>
        <w:ind w:left="426"/>
        <w:jc w:val="both"/>
        <w:rPr>
          <w:b/>
          <w:bCs/>
          <w:sz w:val="23"/>
          <w:szCs w:val="23"/>
        </w:rPr>
      </w:pPr>
      <w:r w:rsidRPr="0062220B">
        <w:rPr>
          <w:bCs/>
          <w:color w:val="auto"/>
          <w:sz w:val="22"/>
          <w:szCs w:val="22"/>
        </w:rPr>
        <w:t>The exchange from time to time disseminates the data pertaining to the trading in the derivative segments for the information of the market,</w:t>
      </w:r>
    </w:p>
    <w:p w:rsidR="00D23216" w:rsidRPr="0062220B" w:rsidRDefault="004847FA" w:rsidP="00DE28E3">
      <w:pPr>
        <w:pStyle w:val="Heading2"/>
        <w:rPr>
          <w:rFonts w:ascii="Times New Roman" w:hAnsi="Times New Roman" w:cs="Times New Roman"/>
          <w:color w:val="000000" w:themeColor="text1"/>
          <w:sz w:val="24"/>
          <w:szCs w:val="24"/>
          <w:shd w:val="clear" w:color="auto" w:fill="FFFFFF"/>
        </w:rPr>
      </w:pPr>
      <w:r w:rsidRPr="0062220B">
        <w:rPr>
          <w:rFonts w:ascii="Times New Roman" w:hAnsi="Times New Roman" w:cs="Times New Roman"/>
          <w:color w:val="000000" w:themeColor="text1"/>
          <w:sz w:val="24"/>
          <w:szCs w:val="24"/>
          <w:shd w:val="clear" w:color="auto" w:fill="FFFFFF"/>
        </w:rPr>
        <w:t xml:space="preserve">5.1 </w:t>
      </w:r>
      <w:r w:rsidR="00827D45" w:rsidRPr="0062220B">
        <w:rPr>
          <w:rFonts w:ascii="Times New Roman" w:hAnsi="Times New Roman" w:cs="Times New Roman"/>
          <w:color w:val="000000" w:themeColor="text1"/>
          <w:sz w:val="24"/>
          <w:szCs w:val="24"/>
          <w:shd w:val="clear" w:color="auto" w:fill="FFFFFF"/>
        </w:rPr>
        <w:t>Participant wise Trading Volume/Open Interest Data</w:t>
      </w:r>
    </w:p>
    <w:p w:rsidR="00114EED" w:rsidRPr="0062220B" w:rsidRDefault="00114EED" w:rsidP="00CF49DA">
      <w:pPr>
        <w:pStyle w:val="Default"/>
        <w:spacing w:line="276" w:lineRule="auto"/>
        <w:ind w:left="426"/>
        <w:jc w:val="both"/>
        <w:rPr>
          <w:bCs/>
          <w:sz w:val="22"/>
          <w:szCs w:val="22"/>
          <w:shd w:val="clear" w:color="auto" w:fill="FFFFFF"/>
        </w:rPr>
      </w:pPr>
      <w:r w:rsidRPr="0062220B">
        <w:rPr>
          <w:bCs/>
          <w:sz w:val="22"/>
          <w:szCs w:val="22"/>
          <w:shd w:val="clear" w:color="auto" w:fill="FFFFFF"/>
        </w:rPr>
        <w:t>The data relating to Open Positions number of contracts and Open Position in terms of volume are updated on daily basis</w:t>
      </w:r>
      <w:r w:rsidR="00890147" w:rsidRPr="0062220B">
        <w:rPr>
          <w:bCs/>
          <w:sz w:val="22"/>
          <w:szCs w:val="22"/>
          <w:shd w:val="clear" w:color="auto" w:fill="FFFFFF"/>
        </w:rPr>
        <w:t xml:space="preserve"> at </w:t>
      </w:r>
      <w:r w:rsidR="00890147" w:rsidRPr="0062220B">
        <w:rPr>
          <w:sz w:val="22"/>
          <w:szCs w:val="22"/>
        </w:rPr>
        <w:t>End-of-</w:t>
      </w:r>
      <w:r w:rsidR="00CF49DA" w:rsidRPr="0062220B">
        <w:rPr>
          <w:sz w:val="22"/>
          <w:szCs w:val="22"/>
        </w:rPr>
        <w:t>day</w:t>
      </w:r>
      <w:r w:rsidR="00CF49DA" w:rsidRPr="0062220B">
        <w:rPr>
          <w:bCs/>
          <w:sz w:val="22"/>
          <w:szCs w:val="22"/>
          <w:shd w:val="clear" w:color="auto" w:fill="FFFFFF"/>
        </w:rPr>
        <w:t>.</w:t>
      </w:r>
    </w:p>
    <w:p w:rsidR="00114EED" w:rsidRPr="0062220B" w:rsidRDefault="00114EED" w:rsidP="00DE28E3">
      <w:pPr>
        <w:pStyle w:val="Default"/>
        <w:spacing w:line="276" w:lineRule="auto"/>
        <w:ind w:left="851"/>
        <w:jc w:val="both"/>
        <w:rPr>
          <w:sz w:val="22"/>
          <w:szCs w:val="22"/>
        </w:rPr>
      </w:pPr>
    </w:p>
    <w:p w:rsidR="00114EED" w:rsidRPr="0062220B" w:rsidRDefault="00114EED" w:rsidP="00CF49DA">
      <w:pPr>
        <w:pStyle w:val="Default"/>
        <w:spacing w:line="276" w:lineRule="auto"/>
        <w:ind w:left="426"/>
        <w:jc w:val="both"/>
        <w:rPr>
          <w:sz w:val="22"/>
          <w:szCs w:val="22"/>
        </w:rPr>
      </w:pPr>
      <w:r w:rsidRPr="0062220B">
        <w:rPr>
          <w:sz w:val="22"/>
          <w:szCs w:val="22"/>
        </w:rPr>
        <w:t>The link for the same is as follows.;</w:t>
      </w:r>
    </w:p>
    <w:p w:rsidR="00827D45" w:rsidRDefault="00573B40" w:rsidP="0062220B">
      <w:pPr>
        <w:pStyle w:val="Default"/>
        <w:spacing w:line="276" w:lineRule="auto"/>
        <w:ind w:left="426"/>
        <w:jc w:val="both"/>
        <w:rPr>
          <w:rStyle w:val="Hyperlink"/>
          <w:sz w:val="22"/>
          <w:szCs w:val="22"/>
        </w:rPr>
      </w:pPr>
      <w:hyperlink r:id="rId20" w:history="1">
        <w:r w:rsidR="00DF277B">
          <w:rPr>
            <w:rStyle w:val="Hyperlink"/>
            <w:sz w:val="22"/>
            <w:szCs w:val="22"/>
          </w:rPr>
          <w:t>Participant wise Trading Volume/Open Interest Data</w:t>
        </w:r>
      </w:hyperlink>
    </w:p>
    <w:p w:rsidR="00874703" w:rsidRPr="00634AC4" w:rsidRDefault="00573B40" w:rsidP="00874703">
      <w:pPr>
        <w:pStyle w:val="Default"/>
        <w:spacing w:line="276" w:lineRule="auto"/>
        <w:jc w:val="right"/>
        <w:rPr>
          <w:rStyle w:val="Hyperlink"/>
          <w:color w:val="FF0000"/>
          <w:sz w:val="16"/>
          <w:szCs w:val="16"/>
        </w:rPr>
      </w:pPr>
      <w:hyperlink w:anchor="_top" w:history="1">
        <w:r w:rsidR="00874703" w:rsidRPr="00644EFC">
          <w:rPr>
            <w:rStyle w:val="Hyperlink"/>
            <w:color w:val="FF0000"/>
            <w:sz w:val="16"/>
            <w:szCs w:val="16"/>
          </w:rPr>
          <w:t>Go Top</w:t>
        </w:r>
      </w:hyperlink>
    </w:p>
    <w:p w:rsidR="00874703" w:rsidRPr="00644EFC" w:rsidRDefault="00874703" w:rsidP="0062220B">
      <w:pPr>
        <w:pStyle w:val="Default"/>
        <w:spacing w:line="276" w:lineRule="auto"/>
        <w:ind w:left="426"/>
        <w:jc w:val="both"/>
        <w:rPr>
          <w:rFonts w:ascii="Arial" w:hAnsi="Arial" w:cs="Arial"/>
          <w:b/>
          <w:bCs/>
          <w:sz w:val="23"/>
          <w:szCs w:val="23"/>
          <w:shd w:val="clear" w:color="auto" w:fill="FFFFFF"/>
        </w:rPr>
      </w:pPr>
    </w:p>
    <w:p w:rsidR="00827D45" w:rsidRPr="0062220B" w:rsidRDefault="004847FA" w:rsidP="00DE28E3">
      <w:pPr>
        <w:pStyle w:val="Heading2"/>
        <w:rPr>
          <w:rStyle w:val="Heading1Char"/>
          <w:b/>
          <w:color w:val="000000" w:themeColor="text1"/>
          <w:sz w:val="24"/>
          <w:szCs w:val="24"/>
        </w:rPr>
      </w:pPr>
      <w:bookmarkStart w:id="27" w:name="_5.2_Volume_and"/>
      <w:bookmarkEnd w:id="27"/>
      <w:r w:rsidRPr="0062220B">
        <w:rPr>
          <w:rFonts w:ascii="Times New Roman" w:hAnsi="Times New Roman" w:cs="Times New Roman"/>
          <w:color w:val="000000" w:themeColor="text1"/>
          <w:sz w:val="24"/>
          <w:szCs w:val="24"/>
          <w:shd w:val="clear" w:color="auto" w:fill="FFFFFF"/>
        </w:rPr>
        <w:t xml:space="preserve">5.2 </w:t>
      </w:r>
      <w:r w:rsidR="00827D45" w:rsidRPr="0062220B">
        <w:rPr>
          <w:rStyle w:val="Heading1Char"/>
          <w:rFonts w:ascii="Times New Roman" w:hAnsi="Times New Roman" w:cs="Times New Roman"/>
          <w:b/>
          <w:color w:val="000000" w:themeColor="text1"/>
          <w:sz w:val="24"/>
          <w:szCs w:val="24"/>
        </w:rPr>
        <w:t>Volume and Turnover Data of Top 10 Clearing Member</w:t>
      </w:r>
      <w:r w:rsidR="00827D45" w:rsidRPr="0062220B">
        <w:rPr>
          <w:rStyle w:val="Heading1Char"/>
          <w:b/>
          <w:color w:val="000000" w:themeColor="text1"/>
          <w:sz w:val="24"/>
          <w:szCs w:val="24"/>
        </w:rPr>
        <w:t>s</w:t>
      </w:r>
    </w:p>
    <w:p w:rsidR="00890147" w:rsidRPr="00CF49DA" w:rsidRDefault="00114EED" w:rsidP="00CF49DA">
      <w:pPr>
        <w:pStyle w:val="Default"/>
        <w:spacing w:line="276" w:lineRule="auto"/>
        <w:ind w:left="426"/>
        <w:jc w:val="both"/>
        <w:rPr>
          <w:sz w:val="22"/>
          <w:szCs w:val="22"/>
        </w:rPr>
      </w:pPr>
      <w:r w:rsidRPr="00CF49DA">
        <w:rPr>
          <w:sz w:val="22"/>
          <w:szCs w:val="22"/>
        </w:rPr>
        <w:t xml:space="preserve">The data for top clearing members on the basis of Turnover for different product types is updated </w:t>
      </w:r>
      <w:r w:rsidR="00890147" w:rsidRPr="00CF49DA">
        <w:rPr>
          <w:sz w:val="22"/>
          <w:szCs w:val="22"/>
        </w:rPr>
        <w:t xml:space="preserve">on daily basis </w:t>
      </w:r>
      <w:r w:rsidRPr="00CF49DA">
        <w:rPr>
          <w:sz w:val="22"/>
          <w:szCs w:val="22"/>
        </w:rPr>
        <w:t>at End-of-day.</w:t>
      </w:r>
    </w:p>
    <w:p w:rsidR="00982B77" w:rsidRPr="00CF49DA" w:rsidRDefault="00982B77" w:rsidP="00CF49DA">
      <w:pPr>
        <w:pStyle w:val="Default"/>
        <w:spacing w:line="276" w:lineRule="auto"/>
        <w:ind w:left="426"/>
        <w:jc w:val="both"/>
        <w:rPr>
          <w:sz w:val="22"/>
          <w:szCs w:val="22"/>
        </w:rPr>
      </w:pPr>
    </w:p>
    <w:p w:rsidR="00114EED" w:rsidRPr="00CF49DA" w:rsidRDefault="00114EED" w:rsidP="00CF49DA">
      <w:pPr>
        <w:pStyle w:val="Default"/>
        <w:spacing w:line="276" w:lineRule="auto"/>
        <w:ind w:left="426"/>
        <w:jc w:val="both"/>
        <w:rPr>
          <w:sz w:val="22"/>
          <w:szCs w:val="22"/>
        </w:rPr>
      </w:pPr>
      <w:r w:rsidRPr="00CF49DA">
        <w:rPr>
          <w:sz w:val="22"/>
          <w:szCs w:val="22"/>
        </w:rPr>
        <w:t>The link for the same is as follows.;</w:t>
      </w:r>
    </w:p>
    <w:p w:rsidR="00303A99" w:rsidRPr="00644EFC" w:rsidRDefault="00573B40" w:rsidP="00DE28E3">
      <w:pPr>
        <w:pStyle w:val="Default"/>
        <w:spacing w:line="276" w:lineRule="auto"/>
        <w:ind w:left="426"/>
        <w:jc w:val="both"/>
        <w:rPr>
          <w:rFonts w:ascii="Arial" w:hAnsi="Arial" w:cs="Arial"/>
          <w:b/>
          <w:bCs/>
          <w:sz w:val="23"/>
          <w:szCs w:val="23"/>
          <w:shd w:val="clear" w:color="auto" w:fill="FFFFFF"/>
        </w:rPr>
      </w:pPr>
      <w:hyperlink r:id="rId21" w:history="1">
        <w:r w:rsidR="00DF277B">
          <w:rPr>
            <w:rStyle w:val="Hyperlink"/>
            <w:sz w:val="22"/>
            <w:szCs w:val="22"/>
          </w:rPr>
          <w:t>Volume and Turnover Data of Top 10 Clearing Members</w:t>
        </w:r>
      </w:hyperlink>
    </w:p>
    <w:p w:rsidR="00827D45" w:rsidRPr="0062220B" w:rsidRDefault="00303A99" w:rsidP="00DE28E3">
      <w:pPr>
        <w:pStyle w:val="Heading2"/>
        <w:rPr>
          <w:rFonts w:ascii="Times New Roman" w:hAnsi="Times New Roman" w:cs="Times New Roman"/>
          <w:color w:val="000000" w:themeColor="text1"/>
          <w:sz w:val="24"/>
          <w:szCs w:val="24"/>
          <w:shd w:val="clear" w:color="auto" w:fill="FFFFFF"/>
        </w:rPr>
      </w:pPr>
      <w:bookmarkStart w:id="28" w:name="_5.3_Client_Position"/>
      <w:bookmarkEnd w:id="28"/>
      <w:r w:rsidRPr="0062220B">
        <w:rPr>
          <w:rFonts w:ascii="Times New Roman" w:hAnsi="Times New Roman" w:cs="Times New Roman"/>
          <w:color w:val="000000" w:themeColor="text1"/>
          <w:sz w:val="24"/>
          <w:szCs w:val="24"/>
          <w:shd w:val="clear" w:color="auto" w:fill="FFFFFF"/>
        </w:rPr>
        <w:t xml:space="preserve">5.3 </w:t>
      </w:r>
      <w:r w:rsidR="00827D45" w:rsidRPr="0062220B">
        <w:rPr>
          <w:rFonts w:ascii="Times New Roman" w:hAnsi="Times New Roman" w:cs="Times New Roman"/>
          <w:bCs w:val="0"/>
          <w:color w:val="000000" w:themeColor="text1"/>
          <w:sz w:val="24"/>
          <w:szCs w:val="24"/>
          <w:shd w:val="clear" w:color="auto" w:fill="FFFFFF"/>
        </w:rPr>
        <w:t>Client Position Details</w:t>
      </w:r>
    </w:p>
    <w:p w:rsidR="00114EED" w:rsidRPr="00CF49DA" w:rsidRDefault="00114EED" w:rsidP="00CF49DA">
      <w:pPr>
        <w:pStyle w:val="Default"/>
        <w:spacing w:line="276" w:lineRule="auto"/>
        <w:ind w:left="426"/>
        <w:jc w:val="both"/>
        <w:rPr>
          <w:sz w:val="22"/>
          <w:szCs w:val="22"/>
        </w:rPr>
      </w:pPr>
      <w:r w:rsidRPr="00CF49DA">
        <w:rPr>
          <w:sz w:val="22"/>
          <w:szCs w:val="22"/>
        </w:rPr>
        <w:t xml:space="preserve">The data for </w:t>
      </w:r>
      <w:r w:rsidR="00C81EFA" w:rsidRPr="00CF49DA">
        <w:rPr>
          <w:sz w:val="22"/>
          <w:szCs w:val="22"/>
        </w:rPr>
        <w:t>t</w:t>
      </w:r>
      <w:r w:rsidRPr="00CF49DA">
        <w:rPr>
          <w:sz w:val="22"/>
          <w:szCs w:val="22"/>
        </w:rPr>
        <w:t xml:space="preserve">he clients having open positions </w:t>
      </w:r>
      <w:r w:rsidR="00C81EFA" w:rsidRPr="00CF49DA">
        <w:rPr>
          <w:sz w:val="22"/>
          <w:szCs w:val="22"/>
        </w:rPr>
        <w:t xml:space="preserve">equal to or </w:t>
      </w:r>
      <w:r w:rsidRPr="00CF49DA">
        <w:rPr>
          <w:sz w:val="22"/>
          <w:szCs w:val="22"/>
        </w:rPr>
        <w:t xml:space="preserve">more than 3% </w:t>
      </w:r>
      <w:r w:rsidR="00C81EFA" w:rsidRPr="00CF49DA">
        <w:rPr>
          <w:sz w:val="22"/>
          <w:szCs w:val="22"/>
        </w:rPr>
        <w:t xml:space="preserve">of applicable  Market Wide Position limit </w:t>
      </w:r>
      <w:r w:rsidRPr="00CF49DA">
        <w:rPr>
          <w:sz w:val="22"/>
          <w:szCs w:val="22"/>
        </w:rPr>
        <w:t>in an underlying stock,</w:t>
      </w:r>
      <w:r w:rsidR="008E6CCD" w:rsidRPr="00CF49DA">
        <w:rPr>
          <w:sz w:val="22"/>
          <w:szCs w:val="22"/>
        </w:rPr>
        <w:t xml:space="preserve"> is displayed </w:t>
      </w:r>
      <w:r w:rsidR="0077759E" w:rsidRPr="00CF49DA">
        <w:rPr>
          <w:sz w:val="22"/>
          <w:szCs w:val="22"/>
        </w:rPr>
        <w:t xml:space="preserve">at End of Day </w:t>
      </w:r>
      <w:r w:rsidR="008E6CCD" w:rsidRPr="00CF49DA">
        <w:rPr>
          <w:sz w:val="22"/>
          <w:szCs w:val="22"/>
        </w:rPr>
        <w:t xml:space="preserve">as and when the </w:t>
      </w:r>
      <w:r w:rsidR="00C81EFA" w:rsidRPr="00CF49DA">
        <w:rPr>
          <w:sz w:val="22"/>
          <w:szCs w:val="22"/>
        </w:rPr>
        <w:t xml:space="preserve">said </w:t>
      </w:r>
      <w:r w:rsidR="008E6CCD" w:rsidRPr="00CF49DA">
        <w:rPr>
          <w:sz w:val="22"/>
          <w:szCs w:val="22"/>
        </w:rPr>
        <w:t>criteria satisfies.</w:t>
      </w:r>
    </w:p>
    <w:p w:rsidR="00C81EFA" w:rsidRPr="00CF49DA" w:rsidRDefault="00C81EFA" w:rsidP="00CF49DA">
      <w:pPr>
        <w:pStyle w:val="Default"/>
        <w:spacing w:line="276" w:lineRule="auto"/>
        <w:ind w:left="426"/>
        <w:jc w:val="both"/>
        <w:rPr>
          <w:sz w:val="22"/>
          <w:szCs w:val="22"/>
        </w:rPr>
      </w:pPr>
    </w:p>
    <w:p w:rsidR="00114EED" w:rsidRPr="00CF49DA" w:rsidRDefault="00114EED" w:rsidP="00CF49DA">
      <w:pPr>
        <w:pStyle w:val="Default"/>
        <w:spacing w:line="276" w:lineRule="auto"/>
        <w:ind w:left="426"/>
        <w:jc w:val="both"/>
        <w:rPr>
          <w:sz w:val="22"/>
          <w:szCs w:val="22"/>
        </w:rPr>
      </w:pPr>
      <w:r w:rsidRPr="00CF49DA">
        <w:rPr>
          <w:sz w:val="22"/>
          <w:szCs w:val="22"/>
        </w:rPr>
        <w:t>The link for the same is as follows;</w:t>
      </w:r>
    </w:p>
    <w:p w:rsidR="00827D45" w:rsidRPr="00644EFC" w:rsidRDefault="00573B40" w:rsidP="0062220B">
      <w:pPr>
        <w:pStyle w:val="Default"/>
        <w:spacing w:line="276" w:lineRule="auto"/>
        <w:ind w:left="426"/>
        <w:jc w:val="both"/>
        <w:rPr>
          <w:rFonts w:ascii="Arial" w:hAnsi="Arial" w:cs="Arial"/>
          <w:b/>
          <w:bCs/>
          <w:sz w:val="23"/>
          <w:szCs w:val="23"/>
          <w:shd w:val="clear" w:color="auto" w:fill="FFFFFF"/>
        </w:rPr>
      </w:pPr>
      <w:hyperlink r:id="rId22" w:history="1">
        <w:r w:rsidR="00DF277B">
          <w:rPr>
            <w:rStyle w:val="Hyperlink"/>
            <w:sz w:val="22"/>
            <w:szCs w:val="22"/>
          </w:rPr>
          <w:t>Client Position Details</w:t>
        </w:r>
      </w:hyperlink>
    </w:p>
    <w:p w:rsidR="00827D45" w:rsidRPr="00644EFC" w:rsidRDefault="00303A99" w:rsidP="00DE28E3">
      <w:pPr>
        <w:pStyle w:val="Heading2"/>
        <w:rPr>
          <w:rFonts w:ascii="Times New Roman" w:hAnsi="Times New Roman" w:cs="Times New Roman"/>
          <w:color w:val="000000" w:themeColor="text1"/>
          <w:sz w:val="24"/>
          <w:szCs w:val="24"/>
          <w:shd w:val="clear" w:color="auto" w:fill="FFFFFF"/>
        </w:rPr>
      </w:pPr>
      <w:bookmarkStart w:id="29" w:name="_5.4_Disclosure_of"/>
      <w:bookmarkEnd w:id="29"/>
      <w:r w:rsidRPr="00644EFC">
        <w:rPr>
          <w:rFonts w:ascii="Times New Roman" w:hAnsi="Times New Roman" w:cs="Times New Roman"/>
          <w:color w:val="000000" w:themeColor="text1"/>
          <w:sz w:val="24"/>
          <w:szCs w:val="24"/>
          <w:shd w:val="clear" w:color="auto" w:fill="FFFFFF"/>
        </w:rPr>
        <w:t xml:space="preserve">5.4 </w:t>
      </w:r>
      <w:r w:rsidR="00827D45" w:rsidRPr="0062220B">
        <w:rPr>
          <w:rFonts w:ascii="Times New Roman" w:hAnsi="Times New Roman" w:cs="Times New Roman"/>
          <w:color w:val="000000" w:themeColor="text1"/>
          <w:sz w:val="24"/>
          <w:szCs w:val="24"/>
          <w:shd w:val="clear" w:color="auto" w:fill="FFFFFF"/>
        </w:rPr>
        <w:t>Disclosure of Position of Connected Entities</w:t>
      </w:r>
    </w:p>
    <w:p w:rsidR="00837052" w:rsidRPr="00CF49DA" w:rsidRDefault="008E6CCD" w:rsidP="00CF49DA">
      <w:pPr>
        <w:pStyle w:val="Default"/>
        <w:spacing w:line="276" w:lineRule="auto"/>
        <w:ind w:left="426"/>
        <w:jc w:val="both"/>
        <w:rPr>
          <w:sz w:val="22"/>
          <w:szCs w:val="22"/>
        </w:rPr>
      </w:pPr>
      <w:r w:rsidRPr="00CF49DA">
        <w:rPr>
          <w:sz w:val="22"/>
          <w:szCs w:val="22"/>
        </w:rPr>
        <w:t xml:space="preserve">The data </w:t>
      </w:r>
      <w:r w:rsidR="00837052" w:rsidRPr="00CF49DA">
        <w:rPr>
          <w:sz w:val="22"/>
          <w:szCs w:val="22"/>
        </w:rPr>
        <w:t xml:space="preserve">of </w:t>
      </w:r>
      <w:r w:rsidRPr="00CF49DA">
        <w:rPr>
          <w:sz w:val="22"/>
          <w:szCs w:val="22"/>
        </w:rPr>
        <w:t>combined position of any group or group of clients in any of the Derivatives securities having the Higher of 1% of free float capital of the company or 5% of the Total Market Open Interest</w:t>
      </w:r>
      <w:r w:rsidR="00837052" w:rsidRPr="00CF49DA">
        <w:rPr>
          <w:sz w:val="22"/>
          <w:szCs w:val="22"/>
        </w:rPr>
        <w:t>, is displayed at End of Day as and when the said criteria satisfies.</w:t>
      </w:r>
    </w:p>
    <w:p w:rsidR="008E6CCD" w:rsidRPr="00CF49DA" w:rsidRDefault="008E6CCD" w:rsidP="00CF49DA">
      <w:pPr>
        <w:pStyle w:val="Default"/>
        <w:spacing w:line="276" w:lineRule="auto"/>
        <w:ind w:left="426"/>
        <w:jc w:val="both"/>
        <w:rPr>
          <w:sz w:val="22"/>
          <w:szCs w:val="22"/>
        </w:rPr>
      </w:pPr>
      <w:r w:rsidRPr="00CF49DA">
        <w:rPr>
          <w:sz w:val="22"/>
          <w:szCs w:val="22"/>
        </w:rPr>
        <w:t xml:space="preserve">The data is displayed within 5 working days after </w:t>
      </w:r>
      <w:r w:rsidR="00837052" w:rsidRPr="00CF49DA">
        <w:rPr>
          <w:sz w:val="22"/>
          <w:szCs w:val="22"/>
        </w:rPr>
        <w:t xml:space="preserve">last  date of the </w:t>
      </w:r>
      <w:r w:rsidRPr="00CF49DA">
        <w:rPr>
          <w:sz w:val="22"/>
          <w:szCs w:val="22"/>
        </w:rPr>
        <w:t>preceding fortnight,</w:t>
      </w:r>
    </w:p>
    <w:p w:rsidR="00837052" w:rsidRPr="00CF49DA" w:rsidRDefault="00837052" w:rsidP="00CF49DA">
      <w:pPr>
        <w:pStyle w:val="Default"/>
        <w:spacing w:line="276" w:lineRule="auto"/>
        <w:ind w:left="426"/>
        <w:jc w:val="both"/>
        <w:rPr>
          <w:rFonts w:ascii="Arial" w:hAnsi="Arial" w:cs="Arial"/>
          <w:bCs/>
          <w:sz w:val="22"/>
          <w:szCs w:val="22"/>
          <w:shd w:val="clear" w:color="auto" w:fill="FFFFFF"/>
        </w:rPr>
      </w:pPr>
    </w:p>
    <w:p w:rsidR="00982B77" w:rsidRPr="00644EFC" w:rsidRDefault="00573B40" w:rsidP="0062220B">
      <w:pPr>
        <w:pStyle w:val="Default"/>
        <w:spacing w:line="276" w:lineRule="auto"/>
        <w:ind w:left="426"/>
        <w:jc w:val="both"/>
        <w:rPr>
          <w:rStyle w:val="Hyperlink"/>
          <w:color w:val="FF0000"/>
          <w:sz w:val="16"/>
          <w:szCs w:val="16"/>
        </w:rPr>
      </w:pPr>
      <w:hyperlink r:id="rId23" w:history="1">
        <w:r w:rsidR="00DF277B">
          <w:rPr>
            <w:rStyle w:val="Hyperlink"/>
            <w:sz w:val="22"/>
            <w:szCs w:val="22"/>
          </w:rPr>
          <w:t>Disclosure of Position of Connected Entities</w:t>
        </w:r>
      </w:hyperlink>
      <w:r w:rsidR="0062220B" w:rsidRPr="00644EFC">
        <w:rPr>
          <w:rStyle w:val="Hyperlink"/>
          <w:color w:val="FF0000"/>
          <w:sz w:val="16"/>
          <w:szCs w:val="16"/>
        </w:rPr>
        <w:t xml:space="preserve"> </w:t>
      </w:r>
    </w:p>
    <w:p w:rsidR="00421F7A" w:rsidRPr="0062220B" w:rsidRDefault="00303A99" w:rsidP="0062220B">
      <w:pPr>
        <w:pStyle w:val="Heading2"/>
        <w:rPr>
          <w:rFonts w:ascii="Times New Roman" w:hAnsi="Times New Roman" w:cs="Times New Roman"/>
          <w:color w:val="000000" w:themeColor="text1"/>
          <w:sz w:val="24"/>
          <w:szCs w:val="24"/>
          <w:shd w:val="clear" w:color="auto" w:fill="FFFFFF"/>
        </w:rPr>
      </w:pPr>
      <w:bookmarkStart w:id="30" w:name="_5.5_Market_Wide"/>
      <w:bookmarkEnd w:id="30"/>
      <w:r w:rsidRPr="0062220B">
        <w:rPr>
          <w:rFonts w:ascii="Times New Roman" w:hAnsi="Times New Roman" w:cs="Times New Roman"/>
          <w:color w:val="000000" w:themeColor="text1"/>
          <w:sz w:val="24"/>
          <w:szCs w:val="24"/>
          <w:shd w:val="clear" w:color="auto" w:fill="FFFFFF"/>
        </w:rPr>
        <w:t xml:space="preserve">5.5 </w:t>
      </w:r>
      <w:r w:rsidR="00827D45" w:rsidRPr="0062220B">
        <w:rPr>
          <w:rFonts w:ascii="Times New Roman" w:hAnsi="Times New Roman" w:cs="Times New Roman"/>
          <w:color w:val="000000" w:themeColor="text1"/>
          <w:sz w:val="24"/>
          <w:szCs w:val="24"/>
          <w:shd w:val="clear" w:color="auto" w:fill="FFFFFF"/>
        </w:rPr>
        <w:t>Market Wide Position Limit</w:t>
      </w:r>
    </w:p>
    <w:p w:rsidR="008E6CCD" w:rsidRPr="00CF49DA" w:rsidRDefault="008E6CCD" w:rsidP="00CF49DA">
      <w:pPr>
        <w:pStyle w:val="Default"/>
        <w:spacing w:line="276" w:lineRule="auto"/>
        <w:ind w:left="426"/>
        <w:jc w:val="both"/>
        <w:rPr>
          <w:sz w:val="22"/>
          <w:szCs w:val="22"/>
        </w:rPr>
      </w:pPr>
      <w:r w:rsidRPr="00CF49DA">
        <w:rPr>
          <w:sz w:val="22"/>
          <w:szCs w:val="22"/>
        </w:rPr>
        <w:t>The position limits for</w:t>
      </w:r>
      <w:r w:rsidR="00CE2A0F" w:rsidRPr="00CF49DA">
        <w:rPr>
          <w:sz w:val="22"/>
          <w:szCs w:val="22"/>
        </w:rPr>
        <w:t xml:space="preserve"> individual securities and the position limits for </w:t>
      </w:r>
      <w:r w:rsidRPr="00CF49DA">
        <w:rPr>
          <w:sz w:val="22"/>
          <w:szCs w:val="22"/>
        </w:rPr>
        <w:t>Trading Members/ Clients and Categories of FII/ FPI, is disseminated</w:t>
      </w:r>
      <w:r w:rsidR="00CE2A0F" w:rsidRPr="00CF49DA">
        <w:rPr>
          <w:sz w:val="22"/>
          <w:szCs w:val="22"/>
        </w:rPr>
        <w:t xml:space="preserve"> on monthly basis and also when there are corporate actions </w:t>
      </w:r>
      <w:r w:rsidR="00D876D9" w:rsidRPr="00CF49DA">
        <w:rPr>
          <w:sz w:val="22"/>
          <w:szCs w:val="22"/>
        </w:rPr>
        <w:t xml:space="preserve">such as dividend and others impacting share capital </w:t>
      </w:r>
      <w:r w:rsidR="00CE2A0F" w:rsidRPr="00CF49DA">
        <w:rPr>
          <w:sz w:val="22"/>
          <w:szCs w:val="22"/>
        </w:rPr>
        <w:t xml:space="preserve">in any of the </w:t>
      </w:r>
      <w:r w:rsidR="00EB0E9F" w:rsidRPr="00CF49DA">
        <w:rPr>
          <w:sz w:val="22"/>
          <w:szCs w:val="22"/>
        </w:rPr>
        <w:t xml:space="preserve">underlying </w:t>
      </w:r>
      <w:r w:rsidR="00CE2A0F" w:rsidRPr="00CF49DA">
        <w:rPr>
          <w:sz w:val="22"/>
          <w:szCs w:val="22"/>
        </w:rPr>
        <w:t>securities in Derivatives segment.</w:t>
      </w:r>
    </w:p>
    <w:p w:rsidR="00EB0E9F" w:rsidRPr="00CF49DA" w:rsidRDefault="00EB0E9F" w:rsidP="00CF49DA">
      <w:pPr>
        <w:pStyle w:val="Default"/>
        <w:spacing w:line="276" w:lineRule="auto"/>
        <w:ind w:left="426"/>
        <w:jc w:val="both"/>
        <w:rPr>
          <w:sz w:val="22"/>
          <w:szCs w:val="22"/>
        </w:rPr>
      </w:pPr>
    </w:p>
    <w:p w:rsidR="00CE2A0F" w:rsidRPr="00CF49DA" w:rsidRDefault="00CE2A0F" w:rsidP="00CF49DA">
      <w:pPr>
        <w:pStyle w:val="Default"/>
        <w:spacing w:line="276" w:lineRule="auto"/>
        <w:ind w:left="426"/>
        <w:jc w:val="both"/>
        <w:rPr>
          <w:sz w:val="22"/>
          <w:szCs w:val="22"/>
        </w:rPr>
      </w:pPr>
      <w:r w:rsidRPr="00CF49DA">
        <w:rPr>
          <w:sz w:val="22"/>
          <w:szCs w:val="22"/>
        </w:rPr>
        <w:t>The data can be accessed through;</w:t>
      </w:r>
    </w:p>
    <w:p w:rsidR="00827D45" w:rsidRPr="0062220B" w:rsidRDefault="00573B40" w:rsidP="0062220B">
      <w:pPr>
        <w:pStyle w:val="Default"/>
        <w:spacing w:line="276" w:lineRule="auto"/>
        <w:ind w:left="426"/>
        <w:jc w:val="both"/>
        <w:rPr>
          <w:sz w:val="22"/>
          <w:szCs w:val="22"/>
        </w:rPr>
      </w:pPr>
      <w:hyperlink r:id="rId24" w:history="1">
        <w:r w:rsidR="00DF277B">
          <w:rPr>
            <w:rStyle w:val="Hyperlink"/>
            <w:sz w:val="22"/>
            <w:szCs w:val="22"/>
          </w:rPr>
          <w:t>Market Wide Position Limit</w:t>
        </w:r>
      </w:hyperlink>
      <w:r w:rsidR="00303A99" w:rsidRPr="00CF49DA">
        <w:rPr>
          <w:sz w:val="22"/>
          <w:szCs w:val="22"/>
        </w:rPr>
        <w:tab/>
      </w:r>
    </w:p>
    <w:p w:rsidR="00827D45" w:rsidRPr="0062220B" w:rsidRDefault="000246FE" w:rsidP="00DE28E3">
      <w:pPr>
        <w:pStyle w:val="Heading2"/>
        <w:rPr>
          <w:rFonts w:ascii="Times New Roman" w:hAnsi="Times New Roman" w:cs="Times New Roman"/>
          <w:color w:val="000000" w:themeColor="text1"/>
          <w:sz w:val="24"/>
          <w:szCs w:val="24"/>
        </w:rPr>
      </w:pPr>
      <w:bookmarkStart w:id="31" w:name="_5.6_Underlying_Disclosures"/>
      <w:bookmarkStart w:id="32" w:name="_5.7_Proprietary_Trade"/>
      <w:bookmarkEnd w:id="31"/>
      <w:bookmarkEnd w:id="32"/>
      <w:r>
        <w:rPr>
          <w:rFonts w:ascii="Times New Roman" w:hAnsi="Times New Roman" w:cs="Times New Roman"/>
          <w:color w:val="000000" w:themeColor="text1"/>
          <w:sz w:val="24"/>
          <w:szCs w:val="24"/>
        </w:rPr>
        <w:t>5.6</w:t>
      </w:r>
      <w:r w:rsidR="00303A99" w:rsidRPr="0062220B">
        <w:rPr>
          <w:rFonts w:ascii="Times New Roman" w:hAnsi="Times New Roman" w:cs="Times New Roman"/>
          <w:color w:val="000000" w:themeColor="text1"/>
          <w:sz w:val="24"/>
          <w:szCs w:val="24"/>
        </w:rPr>
        <w:t xml:space="preserve"> </w:t>
      </w:r>
      <w:r w:rsidR="00827D45" w:rsidRPr="0062220B">
        <w:rPr>
          <w:rFonts w:ascii="Times New Roman" w:hAnsi="Times New Roman" w:cs="Times New Roman"/>
          <w:color w:val="000000" w:themeColor="text1"/>
          <w:sz w:val="24"/>
          <w:szCs w:val="24"/>
        </w:rPr>
        <w:t>Proprietary Trade Positions-Derivatives Segment</w:t>
      </w:r>
    </w:p>
    <w:p w:rsidR="00DF277B" w:rsidRDefault="004847FA" w:rsidP="00874703">
      <w:pPr>
        <w:ind w:left="426"/>
        <w:rPr>
          <w:rFonts w:ascii="Times New Roman" w:hAnsi="Times New Roman" w:cs="Times New Roman"/>
        </w:rPr>
      </w:pPr>
      <w:r w:rsidRPr="00CF49DA">
        <w:rPr>
          <w:rFonts w:ascii="Times New Roman" w:hAnsi="Times New Roman" w:cs="Times New Roman"/>
          <w:color w:val="000000"/>
        </w:rPr>
        <w:t>The data shows the percentage of the total open position of the Proprietary trades vis-à-vis the member’s total open position and the VaR (Value at Risk) of such proprietary trades for Derivatives segment. The data is disclosed for the previous month on the website as the average figure for open Interest and VaR details</w:t>
      </w:r>
      <w:r w:rsidR="00CF49DA" w:rsidRPr="00CF49DA">
        <w:rPr>
          <w:rFonts w:ascii="Times New Roman" w:hAnsi="Times New Roman" w:cs="Times New Roman"/>
          <w:color w:val="000000"/>
        </w:rPr>
        <w:t>, computed</w:t>
      </w:r>
      <w:r w:rsidRPr="00CF49DA">
        <w:rPr>
          <w:rFonts w:ascii="Times New Roman" w:hAnsi="Times New Roman" w:cs="Times New Roman"/>
          <w:color w:val="000000"/>
        </w:rPr>
        <w:t xml:space="preserve"> daily.</w:t>
      </w:r>
      <w:r w:rsidRPr="00CF49DA">
        <w:rPr>
          <w:rFonts w:ascii="Times New Roman" w:hAnsi="Times New Roman" w:cs="Times New Roman"/>
        </w:rPr>
        <w:t xml:space="preserve"> </w:t>
      </w:r>
    </w:p>
    <w:p w:rsidR="00F25068" w:rsidRDefault="00573B40" w:rsidP="00874703">
      <w:pPr>
        <w:ind w:left="426"/>
        <w:rPr>
          <w:b/>
          <w:bCs/>
          <w:sz w:val="23"/>
          <w:szCs w:val="23"/>
        </w:rPr>
      </w:pPr>
      <w:hyperlink r:id="rId25" w:history="1">
        <w:r w:rsidR="00DF277B">
          <w:rPr>
            <w:rStyle w:val="Hyperlink"/>
            <w:rFonts w:ascii="Times New Roman" w:hAnsi="Times New Roman" w:cs="Times New Roman"/>
          </w:rPr>
          <w:t>Proprietary Trade Positions-Derivatives Segment</w:t>
        </w:r>
      </w:hyperlink>
    </w:p>
    <w:p w:rsidR="00D23216" w:rsidRPr="00634AC4" w:rsidRDefault="00573B40" w:rsidP="00F25068">
      <w:pPr>
        <w:pStyle w:val="Default"/>
        <w:spacing w:line="276" w:lineRule="auto"/>
        <w:jc w:val="right"/>
        <w:rPr>
          <w:rStyle w:val="Hyperlink"/>
          <w:color w:val="FF0000"/>
          <w:sz w:val="16"/>
          <w:szCs w:val="16"/>
        </w:rPr>
      </w:pPr>
      <w:hyperlink w:anchor="_top" w:history="1">
        <w:r w:rsidR="00634AC4" w:rsidRPr="00644EFC">
          <w:rPr>
            <w:rStyle w:val="Hyperlink"/>
            <w:color w:val="FF0000"/>
            <w:sz w:val="16"/>
            <w:szCs w:val="16"/>
          </w:rPr>
          <w:t>Go Top</w:t>
        </w:r>
      </w:hyperlink>
    </w:p>
    <w:sectPr w:rsidR="00D23216" w:rsidRPr="00634AC4" w:rsidSect="002F358F">
      <w:pgSz w:w="12240" w:h="15840"/>
      <w:pgMar w:top="709" w:right="1467" w:bottom="709" w:left="1619"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3B40" w:rsidRDefault="00573B40" w:rsidP="0062220B">
      <w:pPr>
        <w:spacing w:after="0" w:line="240" w:lineRule="auto"/>
      </w:pPr>
      <w:r>
        <w:separator/>
      </w:r>
    </w:p>
  </w:endnote>
  <w:endnote w:type="continuationSeparator" w:id="0">
    <w:p w:rsidR="00573B40" w:rsidRDefault="00573B40" w:rsidP="00622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B2"/>
    <w:family w:val="auto"/>
    <w:notTrueType/>
    <w:pitch w:val="default"/>
    <w:sig w:usb0="00002001" w:usb1="00000000" w:usb2="00000000"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3B40" w:rsidRDefault="00573B40" w:rsidP="0062220B">
      <w:pPr>
        <w:spacing w:after="0" w:line="240" w:lineRule="auto"/>
      </w:pPr>
      <w:r>
        <w:separator/>
      </w:r>
    </w:p>
  </w:footnote>
  <w:footnote w:type="continuationSeparator" w:id="0">
    <w:p w:rsidR="00573B40" w:rsidRDefault="00573B40" w:rsidP="006222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E7812"/>
    <w:multiLevelType w:val="hybridMultilevel"/>
    <w:tmpl w:val="48B0F4EA"/>
    <w:lvl w:ilvl="0" w:tplc="40090017">
      <w:start w:val="1"/>
      <w:numFmt w:val="lowerLetter"/>
      <w:lvlText w:val="%1)"/>
      <w:lvlJc w:val="left"/>
      <w:pPr>
        <w:ind w:left="1287" w:hanging="360"/>
      </w:p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1" w15:restartNumberingAfterBreak="0">
    <w:nsid w:val="06B915D8"/>
    <w:multiLevelType w:val="hybridMultilevel"/>
    <w:tmpl w:val="5F5A841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D0F1B1C"/>
    <w:multiLevelType w:val="multilevel"/>
    <w:tmpl w:val="6E18F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D014D1"/>
    <w:multiLevelType w:val="multilevel"/>
    <w:tmpl w:val="7FDC8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0F0DB0"/>
    <w:multiLevelType w:val="hybridMultilevel"/>
    <w:tmpl w:val="B32C379C"/>
    <w:lvl w:ilvl="0" w:tplc="40090017">
      <w:start w:val="1"/>
      <w:numFmt w:val="lowerLetter"/>
      <w:lvlText w:val="%1)"/>
      <w:lvlJc w:val="left"/>
      <w:pPr>
        <w:ind w:left="1287" w:hanging="360"/>
      </w:p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5" w15:restartNumberingAfterBreak="0">
    <w:nsid w:val="10140E65"/>
    <w:multiLevelType w:val="hybridMultilevel"/>
    <w:tmpl w:val="E32466CC"/>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15:restartNumberingAfterBreak="0">
    <w:nsid w:val="11936CB9"/>
    <w:multiLevelType w:val="hybridMultilevel"/>
    <w:tmpl w:val="6BF88E68"/>
    <w:lvl w:ilvl="0" w:tplc="DF882994">
      <w:start w:val="1"/>
      <w:numFmt w:val="lowerLetter"/>
      <w:lvlText w:val="%1)"/>
      <w:lvlJc w:val="left"/>
      <w:pPr>
        <w:ind w:left="1023" w:hanging="360"/>
      </w:pPr>
      <w:rPr>
        <w:color w:val="auto"/>
      </w:rPr>
    </w:lvl>
    <w:lvl w:ilvl="1" w:tplc="40090019">
      <w:start w:val="1"/>
      <w:numFmt w:val="lowerLetter"/>
      <w:lvlText w:val="%2."/>
      <w:lvlJc w:val="left"/>
      <w:pPr>
        <w:ind w:left="1743" w:hanging="360"/>
      </w:pPr>
    </w:lvl>
    <w:lvl w:ilvl="2" w:tplc="4009001B" w:tentative="1">
      <w:start w:val="1"/>
      <w:numFmt w:val="lowerRoman"/>
      <w:lvlText w:val="%3."/>
      <w:lvlJc w:val="right"/>
      <w:pPr>
        <w:ind w:left="2463" w:hanging="180"/>
      </w:pPr>
    </w:lvl>
    <w:lvl w:ilvl="3" w:tplc="4009000F" w:tentative="1">
      <w:start w:val="1"/>
      <w:numFmt w:val="decimal"/>
      <w:lvlText w:val="%4."/>
      <w:lvlJc w:val="left"/>
      <w:pPr>
        <w:ind w:left="3183" w:hanging="360"/>
      </w:pPr>
    </w:lvl>
    <w:lvl w:ilvl="4" w:tplc="40090019" w:tentative="1">
      <w:start w:val="1"/>
      <w:numFmt w:val="lowerLetter"/>
      <w:lvlText w:val="%5."/>
      <w:lvlJc w:val="left"/>
      <w:pPr>
        <w:ind w:left="3903" w:hanging="360"/>
      </w:pPr>
    </w:lvl>
    <w:lvl w:ilvl="5" w:tplc="4009001B" w:tentative="1">
      <w:start w:val="1"/>
      <w:numFmt w:val="lowerRoman"/>
      <w:lvlText w:val="%6."/>
      <w:lvlJc w:val="right"/>
      <w:pPr>
        <w:ind w:left="4623" w:hanging="180"/>
      </w:pPr>
    </w:lvl>
    <w:lvl w:ilvl="6" w:tplc="4009000F" w:tentative="1">
      <w:start w:val="1"/>
      <w:numFmt w:val="decimal"/>
      <w:lvlText w:val="%7."/>
      <w:lvlJc w:val="left"/>
      <w:pPr>
        <w:ind w:left="5343" w:hanging="360"/>
      </w:pPr>
    </w:lvl>
    <w:lvl w:ilvl="7" w:tplc="40090019" w:tentative="1">
      <w:start w:val="1"/>
      <w:numFmt w:val="lowerLetter"/>
      <w:lvlText w:val="%8."/>
      <w:lvlJc w:val="left"/>
      <w:pPr>
        <w:ind w:left="6063" w:hanging="360"/>
      </w:pPr>
    </w:lvl>
    <w:lvl w:ilvl="8" w:tplc="4009001B" w:tentative="1">
      <w:start w:val="1"/>
      <w:numFmt w:val="lowerRoman"/>
      <w:lvlText w:val="%9."/>
      <w:lvlJc w:val="right"/>
      <w:pPr>
        <w:ind w:left="6783" w:hanging="180"/>
      </w:pPr>
    </w:lvl>
  </w:abstractNum>
  <w:abstractNum w:abstractNumId="7" w15:restartNumberingAfterBreak="0">
    <w:nsid w:val="12DE07B1"/>
    <w:multiLevelType w:val="multilevel"/>
    <w:tmpl w:val="699C0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7B3F50"/>
    <w:multiLevelType w:val="hybridMultilevel"/>
    <w:tmpl w:val="46C0C1F8"/>
    <w:lvl w:ilvl="0" w:tplc="8BE44450">
      <w:start w:val="1"/>
      <w:numFmt w:val="decimal"/>
      <w:lvlText w:val="%1."/>
      <w:lvlJc w:val="left"/>
      <w:pPr>
        <w:ind w:left="927" w:hanging="360"/>
      </w:pPr>
      <w:rPr>
        <w:rFonts w:hint="default"/>
      </w:rPr>
    </w:lvl>
    <w:lvl w:ilvl="1" w:tplc="40090019" w:tentative="1">
      <w:start w:val="1"/>
      <w:numFmt w:val="lowerLetter"/>
      <w:lvlText w:val="%2."/>
      <w:lvlJc w:val="left"/>
      <w:pPr>
        <w:ind w:left="1647" w:hanging="360"/>
      </w:pPr>
    </w:lvl>
    <w:lvl w:ilvl="2" w:tplc="4009001B" w:tentative="1">
      <w:start w:val="1"/>
      <w:numFmt w:val="lowerRoman"/>
      <w:lvlText w:val="%3."/>
      <w:lvlJc w:val="right"/>
      <w:pPr>
        <w:ind w:left="2367" w:hanging="180"/>
      </w:pPr>
    </w:lvl>
    <w:lvl w:ilvl="3" w:tplc="4009000F" w:tentative="1">
      <w:start w:val="1"/>
      <w:numFmt w:val="decimal"/>
      <w:lvlText w:val="%4."/>
      <w:lvlJc w:val="left"/>
      <w:pPr>
        <w:ind w:left="3087" w:hanging="360"/>
      </w:pPr>
    </w:lvl>
    <w:lvl w:ilvl="4" w:tplc="40090019" w:tentative="1">
      <w:start w:val="1"/>
      <w:numFmt w:val="lowerLetter"/>
      <w:lvlText w:val="%5."/>
      <w:lvlJc w:val="left"/>
      <w:pPr>
        <w:ind w:left="3807" w:hanging="360"/>
      </w:pPr>
    </w:lvl>
    <w:lvl w:ilvl="5" w:tplc="4009001B" w:tentative="1">
      <w:start w:val="1"/>
      <w:numFmt w:val="lowerRoman"/>
      <w:lvlText w:val="%6."/>
      <w:lvlJc w:val="right"/>
      <w:pPr>
        <w:ind w:left="4527" w:hanging="180"/>
      </w:pPr>
    </w:lvl>
    <w:lvl w:ilvl="6" w:tplc="4009000F" w:tentative="1">
      <w:start w:val="1"/>
      <w:numFmt w:val="decimal"/>
      <w:lvlText w:val="%7."/>
      <w:lvlJc w:val="left"/>
      <w:pPr>
        <w:ind w:left="5247" w:hanging="360"/>
      </w:pPr>
    </w:lvl>
    <w:lvl w:ilvl="7" w:tplc="40090019" w:tentative="1">
      <w:start w:val="1"/>
      <w:numFmt w:val="lowerLetter"/>
      <w:lvlText w:val="%8."/>
      <w:lvlJc w:val="left"/>
      <w:pPr>
        <w:ind w:left="5967" w:hanging="360"/>
      </w:pPr>
    </w:lvl>
    <w:lvl w:ilvl="8" w:tplc="4009001B" w:tentative="1">
      <w:start w:val="1"/>
      <w:numFmt w:val="lowerRoman"/>
      <w:lvlText w:val="%9."/>
      <w:lvlJc w:val="right"/>
      <w:pPr>
        <w:ind w:left="6687" w:hanging="180"/>
      </w:pPr>
    </w:lvl>
  </w:abstractNum>
  <w:abstractNum w:abstractNumId="9" w15:restartNumberingAfterBreak="0">
    <w:nsid w:val="1DA90E33"/>
    <w:multiLevelType w:val="multilevel"/>
    <w:tmpl w:val="BE6E0EDE"/>
    <w:lvl w:ilvl="0">
      <w:start w:val="1"/>
      <w:numFmt w:val="lowerLetter"/>
      <w:lvlText w:val="%1."/>
      <w:lvlJc w:val="left"/>
      <w:pPr>
        <w:tabs>
          <w:tab w:val="left" w:pos="432"/>
        </w:tabs>
        <w:ind w:left="720"/>
      </w:pPr>
      <w:rPr>
        <w:rFonts w:ascii="Garamond" w:eastAsia="Garamond" w:hAnsi="Garamond"/>
        <w:strike w:val="0"/>
        <w:color w:val="000000"/>
        <w:spacing w:val="0"/>
        <w:w w:val="100"/>
        <w:sz w:val="2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FFE1AAD"/>
    <w:multiLevelType w:val="hybridMultilevel"/>
    <w:tmpl w:val="26D2B702"/>
    <w:lvl w:ilvl="0" w:tplc="40090017">
      <w:start w:val="1"/>
      <w:numFmt w:val="lowerLetter"/>
      <w:lvlText w:val="%1)"/>
      <w:lvlJc w:val="left"/>
      <w:pPr>
        <w:ind w:left="1429" w:hanging="360"/>
      </w:pPr>
    </w:lvl>
    <w:lvl w:ilvl="1" w:tplc="40090019" w:tentative="1">
      <w:start w:val="1"/>
      <w:numFmt w:val="lowerLetter"/>
      <w:lvlText w:val="%2."/>
      <w:lvlJc w:val="left"/>
      <w:pPr>
        <w:ind w:left="2149" w:hanging="360"/>
      </w:p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11" w15:restartNumberingAfterBreak="0">
    <w:nsid w:val="241C0674"/>
    <w:multiLevelType w:val="hybridMultilevel"/>
    <w:tmpl w:val="051C4EFE"/>
    <w:lvl w:ilvl="0" w:tplc="E40C2C1E">
      <w:start w:val="1"/>
      <w:numFmt w:val="decimal"/>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12" w15:restartNumberingAfterBreak="0">
    <w:nsid w:val="247B3AA6"/>
    <w:multiLevelType w:val="multilevel"/>
    <w:tmpl w:val="66DC781E"/>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61658DE"/>
    <w:multiLevelType w:val="hybridMultilevel"/>
    <w:tmpl w:val="5D922B4A"/>
    <w:lvl w:ilvl="0" w:tplc="22D8FA3C">
      <w:start w:val="1"/>
      <w:numFmt w:val="decimal"/>
      <w:lvlText w:val="%1."/>
      <w:lvlJc w:val="left"/>
      <w:pPr>
        <w:ind w:left="786" w:hanging="360"/>
      </w:pPr>
      <w:rPr>
        <w:rFonts w:hint="default"/>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14" w15:restartNumberingAfterBreak="0">
    <w:nsid w:val="2DD44EA5"/>
    <w:multiLevelType w:val="multilevel"/>
    <w:tmpl w:val="9C304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6F7EB7"/>
    <w:multiLevelType w:val="hybridMultilevel"/>
    <w:tmpl w:val="815C2A42"/>
    <w:lvl w:ilvl="0" w:tplc="22D8FA3C">
      <w:start w:val="1"/>
      <w:numFmt w:val="decimal"/>
      <w:lvlText w:val="%1."/>
      <w:lvlJc w:val="left"/>
      <w:pPr>
        <w:ind w:left="786" w:hanging="360"/>
      </w:pPr>
      <w:rPr>
        <w:rFonts w:hint="default"/>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16" w15:restartNumberingAfterBreak="0">
    <w:nsid w:val="35EE3555"/>
    <w:multiLevelType w:val="hybridMultilevel"/>
    <w:tmpl w:val="80CA263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3FE27121"/>
    <w:multiLevelType w:val="hybridMultilevel"/>
    <w:tmpl w:val="0C9AE88A"/>
    <w:lvl w:ilvl="0" w:tplc="B1D277E6">
      <w:start w:val="1"/>
      <w:numFmt w:val="lowerLetter"/>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18" w15:restartNumberingAfterBreak="0">
    <w:nsid w:val="40193B16"/>
    <w:multiLevelType w:val="multilevel"/>
    <w:tmpl w:val="EE420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001FA7"/>
    <w:multiLevelType w:val="hybridMultilevel"/>
    <w:tmpl w:val="02083B96"/>
    <w:lvl w:ilvl="0" w:tplc="40090017">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20" w15:restartNumberingAfterBreak="0">
    <w:nsid w:val="47F12E6C"/>
    <w:multiLevelType w:val="multilevel"/>
    <w:tmpl w:val="A3A68198"/>
    <w:lvl w:ilvl="0">
      <w:start w:val="1"/>
      <w:numFmt w:val="decimal"/>
      <w:lvlText w:val="%1"/>
      <w:lvlJc w:val="left"/>
      <w:pPr>
        <w:ind w:left="360" w:hanging="360"/>
      </w:pPr>
      <w:rPr>
        <w:rFonts w:hint="default"/>
        <w:b w:val="0"/>
        <w:color w:val="4F81BD" w:themeColor="accent1"/>
        <w:sz w:val="26"/>
      </w:rPr>
    </w:lvl>
    <w:lvl w:ilvl="1">
      <w:start w:val="1"/>
      <w:numFmt w:val="decimal"/>
      <w:lvlText w:val="%1.%2"/>
      <w:lvlJc w:val="left"/>
      <w:pPr>
        <w:ind w:left="502" w:hanging="360"/>
      </w:pPr>
      <w:rPr>
        <w:rFonts w:hint="default"/>
        <w:b w:val="0"/>
        <w:caps w:val="0"/>
        <w:smallCaps w:val="0"/>
        <w:color w:val="000000" w:themeColor="text1"/>
        <w:spacing w:val="0"/>
        <w:sz w:val="26"/>
      </w:rPr>
    </w:lvl>
    <w:lvl w:ilvl="2">
      <w:start w:val="1"/>
      <w:numFmt w:val="decimal"/>
      <w:lvlText w:val="%1.%2.%3"/>
      <w:lvlJc w:val="left"/>
      <w:pPr>
        <w:ind w:left="1440" w:hanging="720"/>
      </w:pPr>
      <w:rPr>
        <w:rFonts w:hint="default"/>
        <w:b w:val="0"/>
        <w:color w:val="4F81BD" w:themeColor="accent1"/>
        <w:sz w:val="26"/>
      </w:rPr>
    </w:lvl>
    <w:lvl w:ilvl="3">
      <w:start w:val="1"/>
      <w:numFmt w:val="decimal"/>
      <w:lvlText w:val="%1.%2.%3.%4"/>
      <w:lvlJc w:val="left"/>
      <w:pPr>
        <w:ind w:left="2160" w:hanging="1080"/>
      </w:pPr>
      <w:rPr>
        <w:rFonts w:hint="default"/>
        <w:b w:val="0"/>
        <w:color w:val="4F81BD" w:themeColor="accent1"/>
        <w:sz w:val="26"/>
      </w:rPr>
    </w:lvl>
    <w:lvl w:ilvl="4">
      <w:start w:val="1"/>
      <w:numFmt w:val="decimal"/>
      <w:lvlText w:val="%1.%2.%3.%4.%5"/>
      <w:lvlJc w:val="left"/>
      <w:pPr>
        <w:ind w:left="2520" w:hanging="1080"/>
      </w:pPr>
      <w:rPr>
        <w:rFonts w:hint="default"/>
        <w:b w:val="0"/>
        <w:color w:val="4F81BD" w:themeColor="accent1"/>
        <w:sz w:val="26"/>
      </w:rPr>
    </w:lvl>
    <w:lvl w:ilvl="5">
      <w:start w:val="1"/>
      <w:numFmt w:val="decimal"/>
      <w:lvlText w:val="%1.%2.%3.%4.%5.%6"/>
      <w:lvlJc w:val="left"/>
      <w:pPr>
        <w:ind w:left="3240" w:hanging="1440"/>
      </w:pPr>
      <w:rPr>
        <w:rFonts w:hint="default"/>
        <w:b w:val="0"/>
        <w:color w:val="4F81BD" w:themeColor="accent1"/>
        <w:sz w:val="26"/>
      </w:rPr>
    </w:lvl>
    <w:lvl w:ilvl="6">
      <w:start w:val="1"/>
      <w:numFmt w:val="decimal"/>
      <w:lvlText w:val="%1.%2.%3.%4.%5.%6.%7"/>
      <w:lvlJc w:val="left"/>
      <w:pPr>
        <w:ind w:left="3600" w:hanging="1440"/>
      </w:pPr>
      <w:rPr>
        <w:rFonts w:hint="default"/>
        <w:b w:val="0"/>
        <w:color w:val="4F81BD" w:themeColor="accent1"/>
        <w:sz w:val="26"/>
      </w:rPr>
    </w:lvl>
    <w:lvl w:ilvl="7">
      <w:start w:val="1"/>
      <w:numFmt w:val="decimal"/>
      <w:lvlText w:val="%1.%2.%3.%4.%5.%6.%7.%8"/>
      <w:lvlJc w:val="left"/>
      <w:pPr>
        <w:ind w:left="4320" w:hanging="1800"/>
      </w:pPr>
      <w:rPr>
        <w:rFonts w:hint="default"/>
        <w:b w:val="0"/>
        <w:color w:val="4F81BD" w:themeColor="accent1"/>
        <w:sz w:val="26"/>
      </w:rPr>
    </w:lvl>
    <w:lvl w:ilvl="8">
      <w:start w:val="1"/>
      <w:numFmt w:val="decimal"/>
      <w:lvlText w:val="%1.%2.%3.%4.%5.%6.%7.%8.%9"/>
      <w:lvlJc w:val="left"/>
      <w:pPr>
        <w:ind w:left="5040" w:hanging="2160"/>
      </w:pPr>
      <w:rPr>
        <w:rFonts w:hint="default"/>
        <w:b w:val="0"/>
        <w:color w:val="4F81BD" w:themeColor="accent1"/>
        <w:sz w:val="26"/>
      </w:rPr>
    </w:lvl>
  </w:abstractNum>
  <w:abstractNum w:abstractNumId="21" w15:restartNumberingAfterBreak="0">
    <w:nsid w:val="49003A27"/>
    <w:multiLevelType w:val="hybridMultilevel"/>
    <w:tmpl w:val="3D52F506"/>
    <w:lvl w:ilvl="0" w:tplc="40090017">
      <w:start w:val="1"/>
      <w:numFmt w:val="lowerLetter"/>
      <w:lvlText w:val="%1)"/>
      <w:lvlJc w:val="left"/>
      <w:pPr>
        <w:ind w:left="1004" w:hanging="360"/>
      </w:p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22" w15:restartNumberingAfterBreak="0">
    <w:nsid w:val="492836A5"/>
    <w:multiLevelType w:val="hybridMultilevel"/>
    <w:tmpl w:val="259675A6"/>
    <w:lvl w:ilvl="0" w:tplc="40090017">
      <w:start w:val="1"/>
      <w:numFmt w:val="lowerLetter"/>
      <w:lvlText w:val="%1)"/>
      <w:lvlJc w:val="left"/>
      <w:pPr>
        <w:ind w:left="1429" w:hanging="360"/>
      </w:pPr>
    </w:lvl>
    <w:lvl w:ilvl="1" w:tplc="40090019" w:tentative="1">
      <w:start w:val="1"/>
      <w:numFmt w:val="lowerLetter"/>
      <w:lvlText w:val="%2."/>
      <w:lvlJc w:val="left"/>
      <w:pPr>
        <w:ind w:left="2149" w:hanging="360"/>
      </w:p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23" w15:restartNumberingAfterBreak="0">
    <w:nsid w:val="4A833AAF"/>
    <w:multiLevelType w:val="hybridMultilevel"/>
    <w:tmpl w:val="E43465FC"/>
    <w:lvl w:ilvl="0" w:tplc="03869AA8">
      <w:start w:val="1"/>
      <w:numFmt w:val="lowerLetter"/>
      <w:lvlText w:val="%1)"/>
      <w:lvlJc w:val="left"/>
      <w:pPr>
        <w:ind w:left="780" w:hanging="360"/>
      </w:pPr>
      <w:rPr>
        <w:color w:val="auto"/>
      </w:rPr>
    </w:lvl>
    <w:lvl w:ilvl="1" w:tplc="40090019" w:tentative="1">
      <w:start w:val="1"/>
      <w:numFmt w:val="lowerLetter"/>
      <w:lvlText w:val="%2."/>
      <w:lvlJc w:val="left"/>
      <w:pPr>
        <w:ind w:left="1500" w:hanging="360"/>
      </w:pPr>
    </w:lvl>
    <w:lvl w:ilvl="2" w:tplc="4009001B" w:tentative="1">
      <w:start w:val="1"/>
      <w:numFmt w:val="lowerRoman"/>
      <w:lvlText w:val="%3."/>
      <w:lvlJc w:val="right"/>
      <w:pPr>
        <w:ind w:left="2220" w:hanging="180"/>
      </w:pPr>
    </w:lvl>
    <w:lvl w:ilvl="3" w:tplc="4009000F" w:tentative="1">
      <w:start w:val="1"/>
      <w:numFmt w:val="decimal"/>
      <w:lvlText w:val="%4."/>
      <w:lvlJc w:val="left"/>
      <w:pPr>
        <w:ind w:left="2940" w:hanging="360"/>
      </w:pPr>
    </w:lvl>
    <w:lvl w:ilvl="4" w:tplc="40090019" w:tentative="1">
      <w:start w:val="1"/>
      <w:numFmt w:val="lowerLetter"/>
      <w:lvlText w:val="%5."/>
      <w:lvlJc w:val="left"/>
      <w:pPr>
        <w:ind w:left="3660" w:hanging="360"/>
      </w:pPr>
    </w:lvl>
    <w:lvl w:ilvl="5" w:tplc="4009001B" w:tentative="1">
      <w:start w:val="1"/>
      <w:numFmt w:val="lowerRoman"/>
      <w:lvlText w:val="%6."/>
      <w:lvlJc w:val="right"/>
      <w:pPr>
        <w:ind w:left="4380" w:hanging="180"/>
      </w:pPr>
    </w:lvl>
    <w:lvl w:ilvl="6" w:tplc="4009000F" w:tentative="1">
      <w:start w:val="1"/>
      <w:numFmt w:val="decimal"/>
      <w:lvlText w:val="%7."/>
      <w:lvlJc w:val="left"/>
      <w:pPr>
        <w:ind w:left="5100" w:hanging="360"/>
      </w:pPr>
    </w:lvl>
    <w:lvl w:ilvl="7" w:tplc="40090019" w:tentative="1">
      <w:start w:val="1"/>
      <w:numFmt w:val="lowerLetter"/>
      <w:lvlText w:val="%8."/>
      <w:lvlJc w:val="left"/>
      <w:pPr>
        <w:ind w:left="5820" w:hanging="360"/>
      </w:pPr>
    </w:lvl>
    <w:lvl w:ilvl="8" w:tplc="4009001B" w:tentative="1">
      <w:start w:val="1"/>
      <w:numFmt w:val="lowerRoman"/>
      <w:lvlText w:val="%9."/>
      <w:lvlJc w:val="right"/>
      <w:pPr>
        <w:ind w:left="6540" w:hanging="180"/>
      </w:pPr>
    </w:lvl>
  </w:abstractNum>
  <w:abstractNum w:abstractNumId="24" w15:restartNumberingAfterBreak="0">
    <w:nsid w:val="540A3F3E"/>
    <w:multiLevelType w:val="hybridMultilevel"/>
    <w:tmpl w:val="00F4EE5E"/>
    <w:lvl w:ilvl="0" w:tplc="40090017">
      <w:start w:val="1"/>
      <w:numFmt w:val="lowerLetter"/>
      <w:lvlText w:val="%1)"/>
      <w:lvlJc w:val="left"/>
      <w:pPr>
        <w:ind w:left="1287" w:hanging="360"/>
      </w:p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25" w15:restartNumberingAfterBreak="0">
    <w:nsid w:val="55E45CA3"/>
    <w:multiLevelType w:val="hybridMultilevel"/>
    <w:tmpl w:val="6716262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56B36402"/>
    <w:multiLevelType w:val="hybridMultilevel"/>
    <w:tmpl w:val="D94CDAB6"/>
    <w:lvl w:ilvl="0" w:tplc="40090017">
      <w:start w:val="1"/>
      <w:numFmt w:val="lowerLetter"/>
      <w:lvlText w:val="%1)"/>
      <w:lvlJc w:val="left"/>
      <w:pPr>
        <w:ind w:left="1146" w:hanging="360"/>
      </w:pPr>
    </w:lvl>
    <w:lvl w:ilvl="1" w:tplc="40090019">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27" w15:restartNumberingAfterBreak="0">
    <w:nsid w:val="59601008"/>
    <w:multiLevelType w:val="hybridMultilevel"/>
    <w:tmpl w:val="61B02AC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5CD53000"/>
    <w:multiLevelType w:val="hybridMultilevel"/>
    <w:tmpl w:val="ADB2F5A2"/>
    <w:lvl w:ilvl="0" w:tplc="40090017">
      <w:start w:val="1"/>
      <w:numFmt w:val="lowerLetter"/>
      <w:lvlText w:val="%1)"/>
      <w:lvlJc w:val="left"/>
      <w:pPr>
        <w:ind w:left="1429" w:hanging="360"/>
      </w:pPr>
    </w:lvl>
    <w:lvl w:ilvl="1" w:tplc="40090019" w:tentative="1">
      <w:start w:val="1"/>
      <w:numFmt w:val="lowerLetter"/>
      <w:lvlText w:val="%2."/>
      <w:lvlJc w:val="left"/>
      <w:pPr>
        <w:ind w:left="2149" w:hanging="360"/>
      </w:p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29" w15:restartNumberingAfterBreak="0">
    <w:nsid w:val="5E9D6FD8"/>
    <w:multiLevelType w:val="hybridMultilevel"/>
    <w:tmpl w:val="0DE217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D55E3F"/>
    <w:multiLevelType w:val="hybridMultilevel"/>
    <w:tmpl w:val="C300883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686C49C8"/>
    <w:multiLevelType w:val="hybridMultilevel"/>
    <w:tmpl w:val="AEA21EB4"/>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69C74AC9"/>
    <w:multiLevelType w:val="hybridMultilevel"/>
    <w:tmpl w:val="8C5AE0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15:restartNumberingAfterBreak="0">
    <w:nsid w:val="6FEC0C60"/>
    <w:multiLevelType w:val="hybridMultilevel"/>
    <w:tmpl w:val="21BEE41C"/>
    <w:lvl w:ilvl="0" w:tplc="40090017">
      <w:start w:val="1"/>
      <w:numFmt w:val="lowerLetter"/>
      <w:lvlText w:val="%1)"/>
      <w:lvlJc w:val="left"/>
      <w:pPr>
        <w:ind w:left="1146" w:hanging="360"/>
      </w:pPr>
    </w:lvl>
    <w:lvl w:ilvl="1" w:tplc="8DAA2630">
      <w:start w:val="1"/>
      <w:numFmt w:val="upperRoman"/>
      <w:lvlText w:val="%2."/>
      <w:lvlJc w:val="left"/>
      <w:pPr>
        <w:ind w:left="2226" w:hanging="720"/>
      </w:pPr>
      <w:rPr>
        <w:rFonts w:hint="default"/>
      </w:r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34" w15:restartNumberingAfterBreak="0">
    <w:nsid w:val="73816DD9"/>
    <w:multiLevelType w:val="multilevel"/>
    <w:tmpl w:val="6E2AAD72"/>
    <w:lvl w:ilvl="0">
      <w:start w:val="1"/>
      <w:numFmt w:val="decimal"/>
      <w:lvlText w:val="%1."/>
      <w:lvlJc w:val="left"/>
      <w:pPr>
        <w:ind w:left="720" w:hanging="360"/>
      </w:pPr>
      <w:rPr>
        <w:rFonts w:hint="default"/>
        <w:b w:val="0"/>
        <w:color w:val="4F81BD" w:themeColor="accent1"/>
        <w:sz w:val="26"/>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74B3EB5"/>
    <w:multiLevelType w:val="hybridMultilevel"/>
    <w:tmpl w:val="D6D2EF96"/>
    <w:lvl w:ilvl="0" w:tplc="40090017">
      <w:start w:val="1"/>
      <w:numFmt w:val="lowerLetter"/>
      <w:lvlText w:val="%1)"/>
      <w:lvlJc w:val="left"/>
      <w:pPr>
        <w:ind w:left="1429" w:hanging="360"/>
      </w:pPr>
    </w:lvl>
    <w:lvl w:ilvl="1" w:tplc="40090019" w:tentative="1">
      <w:start w:val="1"/>
      <w:numFmt w:val="lowerLetter"/>
      <w:lvlText w:val="%2."/>
      <w:lvlJc w:val="left"/>
      <w:pPr>
        <w:ind w:left="2149" w:hanging="360"/>
      </w:p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36" w15:restartNumberingAfterBreak="0">
    <w:nsid w:val="794947DE"/>
    <w:multiLevelType w:val="multilevel"/>
    <w:tmpl w:val="89F85076"/>
    <w:lvl w:ilvl="0">
      <w:start w:val="1"/>
      <w:numFmt w:val="bullet"/>
      <w:lvlText w:val="·"/>
      <w:lvlJc w:val="left"/>
      <w:pPr>
        <w:tabs>
          <w:tab w:val="left" w:pos="288"/>
        </w:tabs>
        <w:ind w:left="720"/>
      </w:pPr>
      <w:rPr>
        <w:rFonts w:ascii="Symbol" w:eastAsia="Symbol" w:hAnsi="Symbol"/>
        <w:strike w:val="0"/>
        <w:color w:val="000000"/>
        <w:spacing w:val="-13"/>
        <w:w w:val="100"/>
        <w:sz w:val="2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9DB2363"/>
    <w:multiLevelType w:val="multilevel"/>
    <w:tmpl w:val="6AD255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E943AD1"/>
    <w:multiLevelType w:val="hybridMultilevel"/>
    <w:tmpl w:val="E5628168"/>
    <w:lvl w:ilvl="0" w:tplc="DF882994">
      <w:start w:val="1"/>
      <w:numFmt w:val="lowerLetter"/>
      <w:lvlText w:val="%1)"/>
      <w:lvlJc w:val="left"/>
      <w:pPr>
        <w:ind w:left="720" w:hanging="360"/>
      </w:pPr>
      <w:rPr>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7"/>
  </w:num>
  <w:num w:numId="2">
    <w:abstractNumId w:val="7"/>
  </w:num>
  <w:num w:numId="3">
    <w:abstractNumId w:val="2"/>
  </w:num>
  <w:num w:numId="4">
    <w:abstractNumId w:val="14"/>
  </w:num>
  <w:num w:numId="5">
    <w:abstractNumId w:val="3"/>
  </w:num>
  <w:num w:numId="6">
    <w:abstractNumId w:val="29"/>
  </w:num>
  <w:num w:numId="7">
    <w:abstractNumId w:val="36"/>
  </w:num>
  <w:num w:numId="8">
    <w:abstractNumId w:val="9"/>
  </w:num>
  <w:num w:numId="9">
    <w:abstractNumId w:val="34"/>
  </w:num>
  <w:num w:numId="10">
    <w:abstractNumId w:val="20"/>
  </w:num>
  <w:num w:numId="11">
    <w:abstractNumId w:val="12"/>
  </w:num>
  <w:num w:numId="12">
    <w:abstractNumId w:val="18"/>
  </w:num>
  <w:num w:numId="13">
    <w:abstractNumId w:val="31"/>
  </w:num>
  <w:num w:numId="14">
    <w:abstractNumId w:val="38"/>
  </w:num>
  <w:num w:numId="15">
    <w:abstractNumId w:val="6"/>
  </w:num>
  <w:num w:numId="16">
    <w:abstractNumId w:val="5"/>
  </w:num>
  <w:num w:numId="17">
    <w:abstractNumId w:val="32"/>
  </w:num>
  <w:num w:numId="18">
    <w:abstractNumId w:val="16"/>
  </w:num>
  <w:num w:numId="19">
    <w:abstractNumId w:val="28"/>
  </w:num>
  <w:num w:numId="20">
    <w:abstractNumId w:val="11"/>
  </w:num>
  <w:num w:numId="21">
    <w:abstractNumId w:val="22"/>
  </w:num>
  <w:num w:numId="22">
    <w:abstractNumId w:val="10"/>
  </w:num>
  <w:num w:numId="23">
    <w:abstractNumId w:val="17"/>
  </w:num>
  <w:num w:numId="24">
    <w:abstractNumId w:val="35"/>
  </w:num>
  <w:num w:numId="25">
    <w:abstractNumId w:val="0"/>
  </w:num>
  <w:num w:numId="26">
    <w:abstractNumId w:val="8"/>
  </w:num>
  <w:num w:numId="27">
    <w:abstractNumId w:val="4"/>
  </w:num>
  <w:num w:numId="28">
    <w:abstractNumId w:val="24"/>
  </w:num>
  <w:num w:numId="29">
    <w:abstractNumId w:val="30"/>
  </w:num>
  <w:num w:numId="30">
    <w:abstractNumId w:val="27"/>
  </w:num>
  <w:num w:numId="31">
    <w:abstractNumId w:val="21"/>
  </w:num>
  <w:num w:numId="32">
    <w:abstractNumId w:val="33"/>
  </w:num>
  <w:num w:numId="33">
    <w:abstractNumId w:val="13"/>
  </w:num>
  <w:num w:numId="34">
    <w:abstractNumId w:val="19"/>
  </w:num>
  <w:num w:numId="35">
    <w:abstractNumId w:val="15"/>
  </w:num>
  <w:num w:numId="36">
    <w:abstractNumId w:val="26"/>
  </w:num>
  <w:num w:numId="37">
    <w:abstractNumId w:val="1"/>
  </w:num>
  <w:num w:numId="38">
    <w:abstractNumId w:val="25"/>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45B"/>
    <w:rsid w:val="00006609"/>
    <w:rsid w:val="000246FE"/>
    <w:rsid w:val="000537A4"/>
    <w:rsid w:val="00065752"/>
    <w:rsid w:val="00067B73"/>
    <w:rsid w:val="000B4464"/>
    <w:rsid w:val="000C3052"/>
    <w:rsid w:val="000C3204"/>
    <w:rsid w:val="000D28AB"/>
    <w:rsid w:val="000F6A88"/>
    <w:rsid w:val="0010008C"/>
    <w:rsid w:val="00101804"/>
    <w:rsid w:val="00103045"/>
    <w:rsid w:val="00114EED"/>
    <w:rsid w:val="001151A4"/>
    <w:rsid w:val="00124EE5"/>
    <w:rsid w:val="00133F31"/>
    <w:rsid w:val="00151407"/>
    <w:rsid w:val="00162EDC"/>
    <w:rsid w:val="001732B2"/>
    <w:rsid w:val="00175CFE"/>
    <w:rsid w:val="0018167A"/>
    <w:rsid w:val="0018717C"/>
    <w:rsid w:val="001B1D4F"/>
    <w:rsid w:val="001D01AD"/>
    <w:rsid w:val="001D456A"/>
    <w:rsid w:val="00274180"/>
    <w:rsid w:val="0028301D"/>
    <w:rsid w:val="002850A5"/>
    <w:rsid w:val="00292754"/>
    <w:rsid w:val="00294FC0"/>
    <w:rsid w:val="002A138B"/>
    <w:rsid w:val="002B27AD"/>
    <w:rsid w:val="002D172F"/>
    <w:rsid w:val="002F358F"/>
    <w:rsid w:val="00303A99"/>
    <w:rsid w:val="0033471D"/>
    <w:rsid w:val="003402F8"/>
    <w:rsid w:val="00343E38"/>
    <w:rsid w:val="00347305"/>
    <w:rsid w:val="003705CE"/>
    <w:rsid w:val="00376F96"/>
    <w:rsid w:val="0039073D"/>
    <w:rsid w:val="003C700E"/>
    <w:rsid w:val="003D1735"/>
    <w:rsid w:val="003D2FF2"/>
    <w:rsid w:val="003F6689"/>
    <w:rsid w:val="00420DB5"/>
    <w:rsid w:val="00421F7A"/>
    <w:rsid w:val="0043424E"/>
    <w:rsid w:val="00441033"/>
    <w:rsid w:val="00445A24"/>
    <w:rsid w:val="00447947"/>
    <w:rsid w:val="0045061F"/>
    <w:rsid w:val="0045604C"/>
    <w:rsid w:val="00457CBD"/>
    <w:rsid w:val="00465260"/>
    <w:rsid w:val="004847FA"/>
    <w:rsid w:val="00496FE6"/>
    <w:rsid w:val="004A4932"/>
    <w:rsid w:val="004D12D0"/>
    <w:rsid w:val="004F3676"/>
    <w:rsid w:val="00522B07"/>
    <w:rsid w:val="005425A7"/>
    <w:rsid w:val="00573B40"/>
    <w:rsid w:val="00611E17"/>
    <w:rsid w:val="00617B12"/>
    <w:rsid w:val="0062220B"/>
    <w:rsid w:val="00634AC4"/>
    <w:rsid w:val="00634DDC"/>
    <w:rsid w:val="00644EFC"/>
    <w:rsid w:val="00654C4A"/>
    <w:rsid w:val="0067645B"/>
    <w:rsid w:val="00685E7E"/>
    <w:rsid w:val="00687E2A"/>
    <w:rsid w:val="00692C1E"/>
    <w:rsid w:val="00694CAC"/>
    <w:rsid w:val="006A2E81"/>
    <w:rsid w:val="006A64FD"/>
    <w:rsid w:val="006B6694"/>
    <w:rsid w:val="006C7573"/>
    <w:rsid w:val="006E403C"/>
    <w:rsid w:val="0070215A"/>
    <w:rsid w:val="00717060"/>
    <w:rsid w:val="00717B69"/>
    <w:rsid w:val="007201E8"/>
    <w:rsid w:val="007304FF"/>
    <w:rsid w:val="007341D1"/>
    <w:rsid w:val="00766C9C"/>
    <w:rsid w:val="0077432A"/>
    <w:rsid w:val="0077759E"/>
    <w:rsid w:val="007A33A5"/>
    <w:rsid w:val="007A60A2"/>
    <w:rsid w:val="007C289E"/>
    <w:rsid w:val="007D6030"/>
    <w:rsid w:val="007E74CB"/>
    <w:rsid w:val="0080569D"/>
    <w:rsid w:val="00827D45"/>
    <w:rsid w:val="008323E4"/>
    <w:rsid w:val="00837052"/>
    <w:rsid w:val="00854FFD"/>
    <w:rsid w:val="00866315"/>
    <w:rsid w:val="00866512"/>
    <w:rsid w:val="00874703"/>
    <w:rsid w:val="00881539"/>
    <w:rsid w:val="00890147"/>
    <w:rsid w:val="008A2342"/>
    <w:rsid w:val="008C4EFA"/>
    <w:rsid w:val="008D4083"/>
    <w:rsid w:val="008E6CCD"/>
    <w:rsid w:val="0090155E"/>
    <w:rsid w:val="00930569"/>
    <w:rsid w:val="00936299"/>
    <w:rsid w:val="009426F9"/>
    <w:rsid w:val="009516F7"/>
    <w:rsid w:val="009525FB"/>
    <w:rsid w:val="0096538E"/>
    <w:rsid w:val="009718A4"/>
    <w:rsid w:val="00971BD1"/>
    <w:rsid w:val="00982B77"/>
    <w:rsid w:val="009A58A6"/>
    <w:rsid w:val="009A7F6A"/>
    <w:rsid w:val="009B14EF"/>
    <w:rsid w:val="009E360F"/>
    <w:rsid w:val="009F093B"/>
    <w:rsid w:val="009F2C83"/>
    <w:rsid w:val="009F2EB3"/>
    <w:rsid w:val="00A06ABC"/>
    <w:rsid w:val="00A07CC1"/>
    <w:rsid w:val="00A362F9"/>
    <w:rsid w:val="00A717D9"/>
    <w:rsid w:val="00A9208B"/>
    <w:rsid w:val="00AB200A"/>
    <w:rsid w:val="00AB4D6B"/>
    <w:rsid w:val="00AB58D3"/>
    <w:rsid w:val="00AC7D48"/>
    <w:rsid w:val="00AD7B9B"/>
    <w:rsid w:val="00AE1386"/>
    <w:rsid w:val="00AF6740"/>
    <w:rsid w:val="00B05B76"/>
    <w:rsid w:val="00B14335"/>
    <w:rsid w:val="00B16498"/>
    <w:rsid w:val="00B40D7F"/>
    <w:rsid w:val="00BA6968"/>
    <w:rsid w:val="00BB44C3"/>
    <w:rsid w:val="00C032A4"/>
    <w:rsid w:val="00C072A0"/>
    <w:rsid w:val="00C1595F"/>
    <w:rsid w:val="00C32342"/>
    <w:rsid w:val="00C47006"/>
    <w:rsid w:val="00C74806"/>
    <w:rsid w:val="00C81EFA"/>
    <w:rsid w:val="00C92DE4"/>
    <w:rsid w:val="00CD213D"/>
    <w:rsid w:val="00CD7763"/>
    <w:rsid w:val="00CE2A0F"/>
    <w:rsid w:val="00CF11AB"/>
    <w:rsid w:val="00CF49DA"/>
    <w:rsid w:val="00D00BD8"/>
    <w:rsid w:val="00D06C9A"/>
    <w:rsid w:val="00D1351B"/>
    <w:rsid w:val="00D23216"/>
    <w:rsid w:val="00D37E66"/>
    <w:rsid w:val="00D604BD"/>
    <w:rsid w:val="00D77EDD"/>
    <w:rsid w:val="00D83D73"/>
    <w:rsid w:val="00D876D9"/>
    <w:rsid w:val="00D91FAF"/>
    <w:rsid w:val="00D94FF1"/>
    <w:rsid w:val="00DA32BC"/>
    <w:rsid w:val="00DA3548"/>
    <w:rsid w:val="00DB4F2D"/>
    <w:rsid w:val="00DC1739"/>
    <w:rsid w:val="00DD32D6"/>
    <w:rsid w:val="00DD594B"/>
    <w:rsid w:val="00DD7E0E"/>
    <w:rsid w:val="00DE28E3"/>
    <w:rsid w:val="00DF277B"/>
    <w:rsid w:val="00E21FC4"/>
    <w:rsid w:val="00E260A5"/>
    <w:rsid w:val="00E32987"/>
    <w:rsid w:val="00E562AD"/>
    <w:rsid w:val="00E74564"/>
    <w:rsid w:val="00E80ED4"/>
    <w:rsid w:val="00E87D2B"/>
    <w:rsid w:val="00E93DA2"/>
    <w:rsid w:val="00EB0E9F"/>
    <w:rsid w:val="00EB7243"/>
    <w:rsid w:val="00ED4C47"/>
    <w:rsid w:val="00ED5102"/>
    <w:rsid w:val="00F25068"/>
    <w:rsid w:val="00F41982"/>
    <w:rsid w:val="00F612AA"/>
    <w:rsid w:val="00FB5EC5"/>
    <w:rsid w:val="00FF72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C52715-2793-4620-ACD3-C109EE7B6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94C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94CA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94CA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94CA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694CAC"/>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694CA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694CA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B05B76"/>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B05B7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7645B"/>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67645B"/>
    <w:rPr>
      <w:color w:val="0000FF" w:themeColor="hyperlink"/>
      <w:u w:val="single"/>
    </w:rPr>
  </w:style>
  <w:style w:type="table" w:styleId="TableGrid">
    <w:name w:val="Table Grid"/>
    <w:basedOn w:val="TableNormal"/>
    <w:uiPriority w:val="59"/>
    <w:rsid w:val="00C072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E87D2B"/>
    <w:rPr>
      <w:color w:val="800080" w:themeColor="followedHyperlink"/>
      <w:u w:val="single"/>
    </w:rPr>
  </w:style>
  <w:style w:type="character" w:customStyle="1" w:styleId="Heading1Char">
    <w:name w:val="Heading 1 Char"/>
    <w:basedOn w:val="DefaultParagraphFont"/>
    <w:link w:val="Heading1"/>
    <w:uiPriority w:val="9"/>
    <w:rsid w:val="00694CA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94CA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94CA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694CA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694CA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694CA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694CA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05B7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B05B76"/>
    <w:rPr>
      <w:rFonts w:asciiTheme="majorHAnsi" w:eastAsiaTheme="majorEastAsia" w:hAnsiTheme="majorHAnsi" w:cstheme="majorBidi"/>
      <w:i/>
      <w:iCs/>
      <w:color w:val="404040" w:themeColor="text1" w:themeTint="BF"/>
      <w:sz w:val="20"/>
      <w:szCs w:val="20"/>
    </w:rPr>
  </w:style>
  <w:style w:type="paragraph" w:styleId="Subtitle">
    <w:name w:val="Subtitle"/>
    <w:basedOn w:val="Normal"/>
    <w:next w:val="Normal"/>
    <w:link w:val="SubtitleChar"/>
    <w:uiPriority w:val="11"/>
    <w:qFormat/>
    <w:rsid w:val="00B05B7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05B76"/>
    <w:rPr>
      <w:rFonts w:asciiTheme="majorHAnsi" w:eastAsiaTheme="majorEastAsia" w:hAnsiTheme="majorHAnsi" w:cstheme="majorBidi"/>
      <w:i/>
      <w:iCs/>
      <w:color w:val="4F81BD" w:themeColor="accent1"/>
      <w:spacing w:val="15"/>
      <w:sz w:val="24"/>
      <w:szCs w:val="24"/>
    </w:rPr>
  </w:style>
  <w:style w:type="paragraph" w:styleId="BalloonText">
    <w:name w:val="Balloon Text"/>
    <w:basedOn w:val="Normal"/>
    <w:link w:val="BalloonTextChar"/>
    <w:uiPriority w:val="99"/>
    <w:semiHidden/>
    <w:unhideWhenUsed/>
    <w:rsid w:val="008815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1539"/>
    <w:rPr>
      <w:rFonts w:ascii="Segoe UI" w:hAnsi="Segoe UI" w:cs="Segoe UI"/>
      <w:sz w:val="18"/>
      <w:szCs w:val="18"/>
    </w:rPr>
  </w:style>
  <w:style w:type="character" w:customStyle="1" w:styleId="apple-converted-space">
    <w:name w:val="apple-converted-space"/>
    <w:basedOn w:val="DefaultParagraphFont"/>
    <w:rsid w:val="00420DB5"/>
  </w:style>
  <w:style w:type="paragraph" w:styleId="NoSpacing">
    <w:name w:val="No Spacing"/>
    <w:uiPriority w:val="1"/>
    <w:qFormat/>
    <w:rsid w:val="00420DB5"/>
    <w:pPr>
      <w:spacing w:after="0" w:line="240" w:lineRule="auto"/>
    </w:pPr>
  </w:style>
  <w:style w:type="paragraph" w:styleId="ListParagraph">
    <w:name w:val="List Paragraph"/>
    <w:basedOn w:val="Normal"/>
    <w:uiPriority w:val="34"/>
    <w:qFormat/>
    <w:rsid w:val="009525FB"/>
    <w:pPr>
      <w:spacing w:after="160" w:line="259" w:lineRule="auto"/>
      <w:ind w:left="720"/>
      <w:contextualSpacing/>
    </w:pPr>
    <w:rPr>
      <w:rFonts w:eastAsiaTheme="minorHAnsi"/>
      <w:lang w:val="en-IN"/>
    </w:rPr>
  </w:style>
  <w:style w:type="paragraph" w:styleId="NormalWeb">
    <w:name w:val="Normal (Web)"/>
    <w:basedOn w:val="Normal"/>
    <w:uiPriority w:val="99"/>
    <w:semiHidden/>
    <w:unhideWhenUsed/>
    <w:rsid w:val="009A58A6"/>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paragraph" w:styleId="Header">
    <w:name w:val="header"/>
    <w:basedOn w:val="Normal"/>
    <w:link w:val="HeaderChar"/>
    <w:uiPriority w:val="99"/>
    <w:unhideWhenUsed/>
    <w:rsid w:val="006222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2220B"/>
  </w:style>
  <w:style w:type="paragraph" w:styleId="Footer">
    <w:name w:val="footer"/>
    <w:basedOn w:val="Normal"/>
    <w:link w:val="FooterChar"/>
    <w:uiPriority w:val="99"/>
    <w:unhideWhenUsed/>
    <w:rsid w:val="006222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22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38251">
      <w:bodyDiv w:val="1"/>
      <w:marLeft w:val="0"/>
      <w:marRight w:val="0"/>
      <w:marTop w:val="0"/>
      <w:marBottom w:val="0"/>
      <w:divBdr>
        <w:top w:val="none" w:sz="0" w:space="0" w:color="auto"/>
        <w:left w:val="none" w:sz="0" w:space="0" w:color="auto"/>
        <w:bottom w:val="none" w:sz="0" w:space="0" w:color="auto"/>
        <w:right w:val="none" w:sz="0" w:space="0" w:color="auto"/>
      </w:divBdr>
    </w:div>
    <w:div w:id="214048452">
      <w:bodyDiv w:val="1"/>
      <w:marLeft w:val="0"/>
      <w:marRight w:val="0"/>
      <w:marTop w:val="0"/>
      <w:marBottom w:val="0"/>
      <w:divBdr>
        <w:top w:val="none" w:sz="0" w:space="0" w:color="auto"/>
        <w:left w:val="none" w:sz="0" w:space="0" w:color="auto"/>
        <w:bottom w:val="none" w:sz="0" w:space="0" w:color="auto"/>
        <w:right w:val="none" w:sz="0" w:space="0" w:color="auto"/>
      </w:divBdr>
    </w:div>
    <w:div w:id="597327036">
      <w:bodyDiv w:val="1"/>
      <w:marLeft w:val="0"/>
      <w:marRight w:val="0"/>
      <w:marTop w:val="0"/>
      <w:marBottom w:val="0"/>
      <w:divBdr>
        <w:top w:val="none" w:sz="0" w:space="0" w:color="auto"/>
        <w:left w:val="none" w:sz="0" w:space="0" w:color="auto"/>
        <w:bottom w:val="none" w:sz="0" w:space="0" w:color="auto"/>
        <w:right w:val="none" w:sz="0" w:space="0" w:color="auto"/>
      </w:divBdr>
      <w:divsChild>
        <w:div w:id="1270821202">
          <w:marLeft w:val="360"/>
          <w:marRight w:val="0"/>
          <w:marTop w:val="0"/>
          <w:marBottom w:val="0"/>
          <w:divBdr>
            <w:top w:val="none" w:sz="0" w:space="0" w:color="auto"/>
            <w:left w:val="none" w:sz="0" w:space="0" w:color="auto"/>
            <w:bottom w:val="none" w:sz="0" w:space="0" w:color="auto"/>
            <w:right w:val="none" w:sz="0" w:space="0" w:color="auto"/>
          </w:divBdr>
        </w:div>
        <w:div w:id="554511733">
          <w:marLeft w:val="360"/>
          <w:marRight w:val="0"/>
          <w:marTop w:val="0"/>
          <w:marBottom w:val="0"/>
          <w:divBdr>
            <w:top w:val="none" w:sz="0" w:space="0" w:color="auto"/>
            <w:left w:val="none" w:sz="0" w:space="0" w:color="auto"/>
            <w:bottom w:val="none" w:sz="0" w:space="0" w:color="auto"/>
            <w:right w:val="none" w:sz="0" w:space="0" w:color="auto"/>
          </w:divBdr>
        </w:div>
        <w:div w:id="26030652">
          <w:marLeft w:val="360"/>
          <w:marRight w:val="0"/>
          <w:marTop w:val="0"/>
          <w:marBottom w:val="0"/>
          <w:divBdr>
            <w:top w:val="none" w:sz="0" w:space="0" w:color="auto"/>
            <w:left w:val="none" w:sz="0" w:space="0" w:color="auto"/>
            <w:bottom w:val="none" w:sz="0" w:space="0" w:color="auto"/>
            <w:right w:val="none" w:sz="0" w:space="0" w:color="auto"/>
          </w:divBdr>
        </w:div>
        <w:div w:id="762336105">
          <w:marLeft w:val="360"/>
          <w:marRight w:val="0"/>
          <w:marTop w:val="0"/>
          <w:marBottom w:val="0"/>
          <w:divBdr>
            <w:top w:val="none" w:sz="0" w:space="0" w:color="auto"/>
            <w:left w:val="none" w:sz="0" w:space="0" w:color="auto"/>
            <w:bottom w:val="none" w:sz="0" w:space="0" w:color="auto"/>
            <w:right w:val="none" w:sz="0" w:space="0" w:color="auto"/>
          </w:divBdr>
        </w:div>
        <w:div w:id="13508731">
          <w:marLeft w:val="360"/>
          <w:marRight w:val="0"/>
          <w:marTop w:val="0"/>
          <w:marBottom w:val="0"/>
          <w:divBdr>
            <w:top w:val="none" w:sz="0" w:space="0" w:color="auto"/>
            <w:left w:val="none" w:sz="0" w:space="0" w:color="auto"/>
            <w:bottom w:val="none" w:sz="0" w:space="0" w:color="auto"/>
            <w:right w:val="none" w:sz="0" w:space="0" w:color="auto"/>
          </w:divBdr>
        </w:div>
        <w:div w:id="683629884">
          <w:marLeft w:val="360"/>
          <w:marRight w:val="0"/>
          <w:marTop w:val="0"/>
          <w:marBottom w:val="0"/>
          <w:divBdr>
            <w:top w:val="none" w:sz="0" w:space="0" w:color="auto"/>
            <w:left w:val="none" w:sz="0" w:space="0" w:color="auto"/>
            <w:bottom w:val="none" w:sz="0" w:space="0" w:color="auto"/>
            <w:right w:val="none" w:sz="0" w:space="0" w:color="auto"/>
          </w:divBdr>
        </w:div>
        <w:div w:id="1724594984">
          <w:marLeft w:val="360"/>
          <w:marRight w:val="0"/>
          <w:marTop w:val="0"/>
          <w:marBottom w:val="0"/>
          <w:divBdr>
            <w:top w:val="none" w:sz="0" w:space="0" w:color="auto"/>
            <w:left w:val="none" w:sz="0" w:space="0" w:color="auto"/>
            <w:bottom w:val="none" w:sz="0" w:space="0" w:color="auto"/>
            <w:right w:val="none" w:sz="0" w:space="0" w:color="auto"/>
          </w:divBdr>
        </w:div>
        <w:div w:id="2027291888">
          <w:marLeft w:val="360"/>
          <w:marRight w:val="0"/>
          <w:marTop w:val="0"/>
          <w:marBottom w:val="0"/>
          <w:divBdr>
            <w:top w:val="none" w:sz="0" w:space="0" w:color="auto"/>
            <w:left w:val="none" w:sz="0" w:space="0" w:color="auto"/>
            <w:bottom w:val="none" w:sz="0" w:space="0" w:color="auto"/>
            <w:right w:val="none" w:sz="0" w:space="0" w:color="auto"/>
          </w:divBdr>
        </w:div>
        <w:div w:id="81533291">
          <w:marLeft w:val="360"/>
          <w:marRight w:val="0"/>
          <w:marTop w:val="0"/>
          <w:marBottom w:val="0"/>
          <w:divBdr>
            <w:top w:val="none" w:sz="0" w:space="0" w:color="auto"/>
            <w:left w:val="none" w:sz="0" w:space="0" w:color="auto"/>
            <w:bottom w:val="none" w:sz="0" w:space="0" w:color="auto"/>
            <w:right w:val="none" w:sz="0" w:space="0" w:color="auto"/>
          </w:divBdr>
        </w:div>
        <w:div w:id="671445051">
          <w:marLeft w:val="360"/>
          <w:marRight w:val="0"/>
          <w:marTop w:val="0"/>
          <w:marBottom w:val="0"/>
          <w:divBdr>
            <w:top w:val="none" w:sz="0" w:space="0" w:color="auto"/>
            <w:left w:val="none" w:sz="0" w:space="0" w:color="auto"/>
            <w:bottom w:val="none" w:sz="0" w:space="0" w:color="auto"/>
            <w:right w:val="none" w:sz="0" w:space="0" w:color="auto"/>
          </w:divBdr>
        </w:div>
        <w:div w:id="992562080">
          <w:marLeft w:val="360"/>
          <w:marRight w:val="0"/>
          <w:marTop w:val="0"/>
          <w:marBottom w:val="0"/>
          <w:divBdr>
            <w:top w:val="none" w:sz="0" w:space="0" w:color="auto"/>
            <w:left w:val="none" w:sz="0" w:space="0" w:color="auto"/>
            <w:bottom w:val="none" w:sz="0" w:space="0" w:color="auto"/>
            <w:right w:val="none" w:sz="0" w:space="0" w:color="auto"/>
          </w:divBdr>
        </w:div>
        <w:div w:id="1547569873">
          <w:marLeft w:val="360"/>
          <w:marRight w:val="0"/>
          <w:marTop w:val="0"/>
          <w:marBottom w:val="0"/>
          <w:divBdr>
            <w:top w:val="none" w:sz="0" w:space="0" w:color="auto"/>
            <w:left w:val="none" w:sz="0" w:space="0" w:color="auto"/>
            <w:bottom w:val="none" w:sz="0" w:space="0" w:color="auto"/>
            <w:right w:val="none" w:sz="0" w:space="0" w:color="auto"/>
          </w:divBdr>
        </w:div>
        <w:div w:id="239826014">
          <w:marLeft w:val="360"/>
          <w:marRight w:val="0"/>
          <w:marTop w:val="0"/>
          <w:marBottom w:val="0"/>
          <w:divBdr>
            <w:top w:val="none" w:sz="0" w:space="0" w:color="auto"/>
            <w:left w:val="none" w:sz="0" w:space="0" w:color="auto"/>
            <w:bottom w:val="none" w:sz="0" w:space="0" w:color="auto"/>
            <w:right w:val="none" w:sz="0" w:space="0" w:color="auto"/>
          </w:divBdr>
        </w:div>
        <w:div w:id="1599212722">
          <w:marLeft w:val="360"/>
          <w:marRight w:val="0"/>
          <w:marTop w:val="0"/>
          <w:marBottom w:val="0"/>
          <w:divBdr>
            <w:top w:val="none" w:sz="0" w:space="0" w:color="auto"/>
            <w:left w:val="none" w:sz="0" w:space="0" w:color="auto"/>
            <w:bottom w:val="none" w:sz="0" w:space="0" w:color="auto"/>
            <w:right w:val="none" w:sz="0" w:space="0" w:color="auto"/>
          </w:divBdr>
        </w:div>
        <w:div w:id="294481811">
          <w:marLeft w:val="360"/>
          <w:marRight w:val="0"/>
          <w:marTop w:val="0"/>
          <w:marBottom w:val="0"/>
          <w:divBdr>
            <w:top w:val="none" w:sz="0" w:space="0" w:color="auto"/>
            <w:left w:val="none" w:sz="0" w:space="0" w:color="auto"/>
            <w:bottom w:val="none" w:sz="0" w:space="0" w:color="auto"/>
            <w:right w:val="none" w:sz="0" w:space="0" w:color="auto"/>
          </w:divBdr>
        </w:div>
        <w:div w:id="37123733">
          <w:marLeft w:val="360"/>
          <w:marRight w:val="0"/>
          <w:marTop w:val="0"/>
          <w:marBottom w:val="0"/>
          <w:divBdr>
            <w:top w:val="none" w:sz="0" w:space="0" w:color="auto"/>
            <w:left w:val="none" w:sz="0" w:space="0" w:color="auto"/>
            <w:bottom w:val="none" w:sz="0" w:space="0" w:color="auto"/>
            <w:right w:val="none" w:sz="0" w:space="0" w:color="auto"/>
          </w:divBdr>
        </w:div>
        <w:div w:id="1256939543">
          <w:marLeft w:val="360"/>
          <w:marRight w:val="0"/>
          <w:marTop w:val="0"/>
          <w:marBottom w:val="0"/>
          <w:divBdr>
            <w:top w:val="none" w:sz="0" w:space="0" w:color="auto"/>
            <w:left w:val="none" w:sz="0" w:space="0" w:color="auto"/>
            <w:bottom w:val="none" w:sz="0" w:space="0" w:color="auto"/>
            <w:right w:val="none" w:sz="0" w:space="0" w:color="auto"/>
          </w:divBdr>
        </w:div>
        <w:div w:id="147943655">
          <w:marLeft w:val="360"/>
          <w:marRight w:val="0"/>
          <w:marTop w:val="0"/>
          <w:marBottom w:val="0"/>
          <w:divBdr>
            <w:top w:val="none" w:sz="0" w:space="0" w:color="auto"/>
            <w:left w:val="none" w:sz="0" w:space="0" w:color="auto"/>
            <w:bottom w:val="none" w:sz="0" w:space="0" w:color="auto"/>
            <w:right w:val="none" w:sz="0" w:space="0" w:color="auto"/>
          </w:divBdr>
        </w:div>
        <w:div w:id="1711033657">
          <w:marLeft w:val="360"/>
          <w:marRight w:val="0"/>
          <w:marTop w:val="0"/>
          <w:marBottom w:val="0"/>
          <w:divBdr>
            <w:top w:val="none" w:sz="0" w:space="0" w:color="auto"/>
            <w:left w:val="none" w:sz="0" w:space="0" w:color="auto"/>
            <w:bottom w:val="none" w:sz="0" w:space="0" w:color="auto"/>
            <w:right w:val="none" w:sz="0" w:space="0" w:color="auto"/>
          </w:divBdr>
        </w:div>
      </w:divsChild>
    </w:div>
    <w:div w:id="637301888">
      <w:bodyDiv w:val="1"/>
      <w:marLeft w:val="0"/>
      <w:marRight w:val="0"/>
      <w:marTop w:val="0"/>
      <w:marBottom w:val="0"/>
      <w:divBdr>
        <w:top w:val="none" w:sz="0" w:space="0" w:color="auto"/>
        <w:left w:val="none" w:sz="0" w:space="0" w:color="auto"/>
        <w:bottom w:val="none" w:sz="0" w:space="0" w:color="auto"/>
        <w:right w:val="none" w:sz="0" w:space="0" w:color="auto"/>
      </w:divBdr>
    </w:div>
    <w:div w:id="728964177">
      <w:bodyDiv w:val="1"/>
      <w:marLeft w:val="0"/>
      <w:marRight w:val="0"/>
      <w:marTop w:val="0"/>
      <w:marBottom w:val="0"/>
      <w:divBdr>
        <w:top w:val="none" w:sz="0" w:space="0" w:color="auto"/>
        <w:left w:val="none" w:sz="0" w:space="0" w:color="auto"/>
        <w:bottom w:val="none" w:sz="0" w:space="0" w:color="auto"/>
        <w:right w:val="none" w:sz="0" w:space="0" w:color="auto"/>
      </w:divBdr>
    </w:div>
    <w:div w:id="807746655">
      <w:bodyDiv w:val="1"/>
      <w:marLeft w:val="0"/>
      <w:marRight w:val="0"/>
      <w:marTop w:val="0"/>
      <w:marBottom w:val="0"/>
      <w:divBdr>
        <w:top w:val="none" w:sz="0" w:space="0" w:color="auto"/>
        <w:left w:val="none" w:sz="0" w:space="0" w:color="auto"/>
        <w:bottom w:val="none" w:sz="0" w:space="0" w:color="auto"/>
        <w:right w:val="none" w:sz="0" w:space="0" w:color="auto"/>
      </w:divBdr>
      <w:divsChild>
        <w:div w:id="1674068601">
          <w:marLeft w:val="0"/>
          <w:marRight w:val="0"/>
          <w:marTop w:val="0"/>
          <w:marBottom w:val="0"/>
          <w:divBdr>
            <w:top w:val="none" w:sz="0" w:space="0" w:color="auto"/>
            <w:left w:val="none" w:sz="0" w:space="0" w:color="auto"/>
            <w:bottom w:val="none" w:sz="0" w:space="0" w:color="auto"/>
            <w:right w:val="none" w:sz="0" w:space="0" w:color="auto"/>
          </w:divBdr>
          <w:divsChild>
            <w:div w:id="70663648">
              <w:marLeft w:val="0"/>
              <w:marRight w:val="0"/>
              <w:marTop w:val="0"/>
              <w:marBottom w:val="0"/>
              <w:divBdr>
                <w:top w:val="none" w:sz="0" w:space="0" w:color="auto"/>
                <w:left w:val="none" w:sz="0" w:space="0" w:color="auto"/>
                <w:bottom w:val="none" w:sz="0" w:space="0" w:color="auto"/>
                <w:right w:val="none" w:sz="0" w:space="0" w:color="auto"/>
              </w:divBdr>
              <w:divsChild>
                <w:div w:id="1461849115">
                  <w:marLeft w:val="0"/>
                  <w:marRight w:val="0"/>
                  <w:marTop w:val="0"/>
                  <w:marBottom w:val="0"/>
                  <w:divBdr>
                    <w:top w:val="none" w:sz="0" w:space="0" w:color="auto"/>
                    <w:left w:val="none" w:sz="0" w:space="0" w:color="auto"/>
                    <w:bottom w:val="none" w:sz="0" w:space="0" w:color="auto"/>
                    <w:right w:val="none" w:sz="0" w:space="0" w:color="auto"/>
                  </w:divBdr>
                  <w:divsChild>
                    <w:div w:id="140580264">
                      <w:marLeft w:val="0"/>
                      <w:marRight w:val="0"/>
                      <w:marTop w:val="0"/>
                      <w:marBottom w:val="0"/>
                      <w:divBdr>
                        <w:top w:val="none" w:sz="0" w:space="0" w:color="auto"/>
                        <w:left w:val="none" w:sz="0" w:space="0" w:color="auto"/>
                        <w:bottom w:val="none" w:sz="0" w:space="0" w:color="auto"/>
                        <w:right w:val="none" w:sz="0" w:space="0" w:color="auto"/>
                      </w:divBdr>
                      <w:divsChild>
                        <w:div w:id="1813715146">
                          <w:marLeft w:val="0"/>
                          <w:marRight w:val="0"/>
                          <w:marTop w:val="0"/>
                          <w:marBottom w:val="0"/>
                          <w:divBdr>
                            <w:top w:val="none" w:sz="0" w:space="0" w:color="auto"/>
                            <w:left w:val="none" w:sz="0" w:space="0" w:color="auto"/>
                            <w:bottom w:val="none" w:sz="0" w:space="0" w:color="auto"/>
                            <w:right w:val="none" w:sz="0" w:space="0" w:color="auto"/>
                          </w:divBdr>
                          <w:divsChild>
                            <w:div w:id="889615464">
                              <w:marLeft w:val="0"/>
                              <w:marRight w:val="0"/>
                              <w:marTop w:val="120"/>
                              <w:marBottom w:val="0"/>
                              <w:divBdr>
                                <w:top w:val="none" w:sz="0" w:space="0" w:color="auto"/>
                                <w:left w:val="none" w:sz="0" w:space="0" w:color="auto"/>
                                <w:bottom w:val="none" w:sz="0" w:space="0" w:color="auto"/>
                                <w:right w:val="none" w:sz="0" w:space="0" w:color="auto"/>
                              </w:divBdr>
                              <w:divsChild>
                                <w:div w:id="485366770">
                                  <w:marLeft w:val="0"/>
                                  <w:marRight w:val="120"/>
                                  <w:marTop w:val="0"/>
                                  <w:marBottom w:val="0"/>
                                  <w:divBdr>
                                    <w:top w:val="none" w:sz="0" w:space="0" w:color="auto"/>
                                    <w:left w:val="none" w:sz="0" w:space="0" w:color="auto"/>
                                    <w:bottom w:val="none" w:sz="0" w:space="0" w:color="auto"/>
                                    <w:right w:val="none" w:sz="0" w:space="0" w:color="auto"/>
                                  </w:divBdr>
                                  <w:divsChild>
                                    <w:div w:id="1727146198">
                                      <w:marLeft w:val="0"/>
                                      <w:marRight w:val="0"/>
                                      <w:marTop w:val="0"/>
                                      <w:marBottom w:val="0"/>
                                      <w:divBdr>
                                        <w:top w:val="single" w:sz="6" w:space="0" w:color="D6D5D4"/>
                                        <w:left w:val="single" w:sz="6" w:space="0" w:color="D6D5D4"/>
                                        <w:bottom w:val="single" w:sz="6" w:space="0" w:color="D6D5D4"/>
                                        <w:right w:val="single" w:sz="6" w:space="0" w:color="D6D5D4"/>
                                      </w:divBdr>
                                      <w:divsChild>
                                        <w:div w:id="354695128">
                                          <w:marLeft w:val="0"/>
                                          <w:marRight w:val="0"/>
                                          <w:marTop w:val="0"/>
                                          <w:marBottom w:val="0"/>
                                          <w:divBdr>
                                            <w:top w:val="single" w:sz="6" w:space="8" w:color="BEBEBD"/>
                                            <w:left w:val="single" w:sz="6" w:space="8" w:color="BEBEBD"/>
                                            <w:bottom w:val="single" w:sz="6" w:space="8" w:color="BEBEBD"/>
                                            <w:right w:val="single" w:sz="6" w:space="8" w:color="BEBEBD"/>
                                          </w:divBdr>
                                        </w:div>
                                      </w:divsChild>
                                    </w:div>
                                  </w:divsChild>
                                </w:div>
                              </w:divsChild>
                            </w:div>
                          </w:divsChild>
                        </w:div>
                      </w:divsChild>
                    </w:div>
                  </w:divsChild>
                </w:div>
              </w:divsChild>
            </w:div>
          </w:divsChild>
        </w:div>
      </w:divsChild>
    </w:div>
    <w:div w:id="865019622">
      <w:bodyDiv w:val="1"/>
      <w:marLeft w:val="0"/>
      <w:marRight w:val="0"/>
      <w:marTop w:val="0"/>
      <w:marBottom w:val="0"/>
      <w:divBdr>
        <w:top w:val="none" w:sz="0" w:space="0" w:color="auto"/>
        <w:left w:val="none" w:sz="0" w:space="0" w:color="auto"/>
        <w:bottom w:val="none" w:sz="0" w:space="0" w:color="auto"/>
        <w:right w:val="none" w:sz="0" w:space="0" w:color="auto"/>
      </w:divBdr>
    </w:div>
    <w:div w:id="1148939879">
      <w:bodyDiv w:val="1"/>
      <w:marLeft w:val="0"/>
      <w:marRight w:val="0"/>
      <w:marTop w:val="0"/>
      <w:marBottom w:val="0"/>
      <w:divBdr>
        <w:top w:val="none" w:sz="0" w:space="0" w:color="auto"/>
        <w:left w:val="none" w:sz="0" w:space="0" w:color="auto"/>
        <w:bottom w:val="none" w:sz="0" w:space="0" w:color="auto"/>
        <w:right w:val="none" w:sz="0" w:space="0" w:color="auto"/>
      </w:divBdr>
    </w:div>
    <w:div w:id="1266425188">
      <w:bodyDiv w:val="1"/>
      <w:marLeft w:val="0"/>
      <w:marRight w:val="0"/>
      <w:marTop w:val="0"/>
      <w:marBottom w:val="0"/>
      <w:divBdr>
        <w:top w:val="none" w:sz="0" w:space="0" w:color="auto"/>
        <w:left w:val="none" w:sz="0" w:space="0" w:color="auto"/>
        <w:bottom w:val="none" w:sz="0" w:space="0" w:color="auto"/>
        <w:right w:val="none" w:sz="0" w:space="0" w:color="auto"/>
      </w:divBdr>
    </w:div>
    <w:div w:id="1552227936">
      <w:bodyDiv w:val="1"/>
      <w:marLeft w:val="0"/>
      <w:marRight w:val="0"/>
      <w:marTop w:val="0"/>
      <w:marBottom w:val="0"/>
      <w:divBdr>
        <w:top w:val="none" w:sz="0" w:space="0" w:color="auto"/>
        <w:left w:val="none" w:sz="0" w:space="0" w:color="auto"/>
        <w:bottom w:val="none" w:sz="0" w:space="0" w:color="auto"/>
        <w:right w:val="none" w:sz="0" w:space="0" w:color="auto"/>
      </w:divBdr>
    </w:div>
    <w:div w:id="1697534927">
      <w:bodyDiv w:val="1"/>
      <w:marLeft w:val="0"/>
      <w:marRight w:val="0"/>
      <w:marTop w:val="0"/>
      <w:marBottom w:val="0"/>
      <w:divBdr>
        <w:top w:val="none" w:sz="0" w:space="0" w:color="auto"/>
        <w:left w:val="none" w:sz="0" w:space="0" w:color="auto"/>
        <w:bottom w:val="none" w:sz="0" w:space="0" w:color="auto"/>
        <w:right w:val="none" w:sz="0" w:space="0" w:color="auto"/>
      </w:divBdr>
    </w:div>
    <w:div w:id="1745448403">
      <w:bodyDiv w:val="1"/>
      <w:marLeft w:val="0"/>
      <w:marRight w:val="0"/>
      <w:marTop w:val="0"/>
      <w:marBottom w:val="0"/>
      <w:divBdr>
        <w:top w:val="none" w:sz="0" w:space="0" w:color="auto"/>
        <w:left w:val="none" w:sz="0" w:space="0" w:color="auto"/>
        <w:bottom w:val="none" w:sz="0" w:space="0" w:color="auto"/>
        <w:right w:val="none" w:sz="0" w:space="0" w:color="auto"/>
      </w:divBdr>
    </w:div>
    <w:div w:id="1861816240">
      <w:bodyDiv w:val="1"/>
      <w:marLeft w:val="0"/>
      <w:marRight w:val="0"/>
      <w:marTop w:val="0"/>
      <w:marBottom w:val="0"/>
      <w:divBdr>
        <w:top w:val="none" w:sz="0" w:space="0" w:color="auto"/>
        <w:left w:val="none" w:sz="0" w:space="0" w:color="auto"/>
        <w:bottom w:val="none" w:sz="0" w:space="0" w:color="auto"/>
        <w:right w:val="none" w:sz="0" w:space="0" w:color="auto"/>
      </w:divBdr>
      <w:divsChild>
        <w:div w:id="111437604">
          <w:marLeft w:val="360"/>
          <w:marRight w:val="0"/>
          <w:marTop w:val="0"/>
          <w:marBottom w:val="0"/>
          <w:divBdr>
            <w:top w:val="none" w:sz="0" w:space="0" w:color="auto"/>
            <w:left w:val="none" w:sz="0" w:space="0" w:color="auto"/>
            <w:bottom w:val="none" w:sz="0" w:space="0" w:color="auto"/>
            <w:right w:val="none" w:sz="0" w:space="0" w:color="auto"/>
          </w:divBdr>
        </w:div>
        <w:div w:id="1829511656">
          <w:marLeft w:val="720"/>
          <w:marRight w:val="0"/>
          <w:marTop w:val="0"/>
          <w:marBottom w:val="0"/>
          <w:divBdr>
            <w:top w:val="none" w:sz="0" w:space="0" w:color="auto"/>
            <w:left w:val="none" w:sz="0" w:space="0" w:color="auto"/>
            <w:bottom w:val="none" w:sz="0" w:space="0" w:color="auto"/>
            <w:right w:val="none" w:sz="0" w:space="0" w:color="auto"/>
          </w:divBdr>
        </w:div>
        <w:div w:id="1077440030">
          <w:marLeft w:val="360"/>
          <w:marRight w:val="0"/>
          <w:marTop w:val="0"/>
          <w:marBottom w:val="0"/>
          <w:divBdr>
            <w:top w:val="none" w:sz="0" w:space="0" w:color="auto"/>
            <w:left w:val="none" w:sz="0" w:space="0" w:color="auto"/>
            <w:bottom w:val="none" w:sz="0" w:space="0" w:color="auto"/>
            <w:right w:val="none" w:sz="0" w:space="0" w:color="auto"/>
          </w:divBdr>
        </w:div>
        <w:div w:id="749617138">
          <w:marLeft w:val="709"/>
          <w:marRight w:val="0"/>
          <w:marTop w:val="0"/>
          <w:marBottom w:val="0"/>
          <w:divBdr>
            <w:top w:val="none" w:sz="0" w:space="0" w:color="auto"/>
            <w:left w:val="none" w:sz="0" w:space="0" w:color="auto"/>
            <w:bottom w:val="none" w:sz="0" w:space="0" w:color="auto"/>
            <w:right w:val="none" w:sz="0" w:space="0" w:color="auto"/>
          </w:divBdr>
        </w:div>
        <w:div w:id="1069383485">
          <w:marLeft w:val="360"/>
          <w:marRight w:val="0"/>
          <w:marTop w:val="0"/>
          <w:marBottom w:val="0"/>
          <w:divBdr>
            <w:top w:val="none" w:sz="0" w:space="0" w:color="auto"/>
            <w:left w:val="none" w:sz="0" w:space="0" w:color="auto"/>
            <w:bottom w:val="none" w:sz="0" w:space="0" w:color="auto"/>
            <w:right w:val="none" w:sz="0" w:space="0" w:color="auto"/>
          </w:divBdr>
        </w:div>
        <w:div w:id="1944846942">
          <w:marLeft w:val="360"/>
          <w:marRight w:val="0"/>
          <w:marTop w:val="0"/>
          <w:marBottom w:val="0"/>
          <w:divBdr>
            <w:top w:val="none" w:sz="0" w:space="0" w:color="auto"/>
            <w:left w:val="none" w:sz="0" w:space="0" w:color="auto"/>
            <w:bottom w:val="none" w:sz="0" w:space="0" w:color="auto"/>
            <w:right w:val="none" w:sz="0" w:space="0" w:color="auto"/>
          </w:divBdr>
        </w:div>
        <w:div w:id="1688751773">
          <w:marLeft w:val="360"/>
          <w:marRight w:val="0"/>
          <w:marTop w:val="0"/>
          <w:marBottom w:val="0"/>
          <w:divBdr>
            <w:top w:val="none" w:sz="0" w:space="0" w:color="auto"/>
            <w:left w:val="none" w:sz="0" w:space="0" w:color="auto"/>
            <w:bottom w:val="none" w:sz="0" w:space="0" w:color="auto"/>
            <w:right w:val="none" w:sz="0" w:space="0" w:color="auto"/>
          </w:divBdr>
        </w:div>
        <w:div w:id="1938443239">
          <w:marLeft w:val="720"/>
          <w:marRight w:val="0"/>
          <w:marTop w:val="0"/>
          <w:marBottom w:val="0"/>
          <w:divBdr>
            <w:top w:val="none" w:sz="0" w:space="0" w:color="auto"/>
            <w:left w:val="none" w:sz="0" w:space="0" w:color="auto"/>
            <w:bottom w:val="none" w:sz="0" w:space="0" w:color="auto"/>
            <w:right w:val="none" w:sz="0" w:space="0" w:color="auto"/>
          </w:divBdr>
        </w:div>
        <w:div w:id="1922333021">
          <w:marLeft w:val="360"/>
          <w:marRight w:val="0"/>
          <w:marTop w:val="0"/>
          <w:marBottom w:val="0"/>
          <w:divBdr>
            <w:top w:val="none" w:sz="0" w:space="0" w:color="auto"/>
            <w:left w:val="none" w:sz="0" w:space="0" w:color="auto"/>
            <w:bottom w:val="none" w:sz="0" w:space="0" w:color="auto"/>
            <w:right w:val="none" w:sz="0" w:space="0" w:color="auto"/>
          </w:divBdr>
        </w:div>
        <w:div w:id="520050872">
          <w:marLeft w:val="720"/>
          <w:marRight w:val="0"/>
          <w:marTop w:val="0"/>
          <w:marBottom w:val="0"/>
          <w:divBdr>
            <w:top w:val="none" w:sz="0" w:space="0" w:color="auto"/>
            <w:left w:val="none" w:sz="0" w:space="0" w:color="auto"/>
            <w:bottom w:val="none" w:sz="0" w:space="0" w:color="auto"/>
            <w:right w:val="none" w:sz="0" w:space="0" w:color="auto"/>
          </w:divBdr>
        </w:div>
        <w:div w:id="547255618">
          <w:marLeft w:val="360"/>
          <w:marRight w:val="0"/>
          <w:marTop w:val="0"/>
          <w:marBottom w:val="0"/>
          <w:divBdr>
            <w:top w:val="none" w:sz="0" w:space="0" w:color="auto"/>
            <w:left w:val="none" w:sz="0" w:space="0" w:color="auto"/>
            <w:bottom w:val="none" w:sz="0" w:space="0" w:color="auto"/>
            <w:right w:val="none" w:sz="0" w:space="0" w:color="auto"/>
          </w:divBdr>
        </w:div>
        <w:div w:id="2135827054">
          <w:marLeft w:val="720"/>
          <w:marRight w:val="0"/>
          <w:marTop w:val="0"/>
          <w:marBottom w:val="0"/>
          <w:divBdr>
            <w:top w:val="none" w:sz="0" w:space="0" w:color="auto"/>
            <w:left w:val="none" w:sz="0" w:space="0" w:color="auto"/>
            <w:bottom w:val="none" w:sz="0" w:space="0" w:color="auto"/>
            <w:right w:val="none" w:sz="0" w:space="0" w:color="auto"/>
          </w:divBdr>
        </w:div>
        <w:div w:id="1545633160">
          <w:marLeft w:val="360"/>
          <w:marRight w:val="0"/>
          <w:marTop w:val="0"/>
          <w:marBottom w:val="0"/>
          <w:divBdr>
            <w:top w:val="none" w:sz="0" w:space="0" w:color="auto"/>
            <w:left w:val="none" w:sz="0" w:space="0" w:color="auto"/>
            <w:bottom w:val="none" w:sz="0" w:space="0" w:color="auto"/>
            <w:right w:val="none" w:sz="0" w:space="0" w:color="auto"/>
          </w:divBdr>
        </w:div>
        <w:div w:id="1754668761">
          <w:marLeft w:val="360"/>
          <w:marRight w:val="0"/>
          <w:marTop w:val="0"/>
          <w:marBottom w:val="0"/>
          <w:divBdr>
            <w:top w:val="none" w:sz="0" w:space="0" w:color="auto"/>
            <w:left w:val="none" w:sz="0" w:space="0" w:color="auto"/>
            <w:bottom w:val="none" w:sz="0" w:space="0" w:color="auto"/>
            <w:right w:val="none" w:sz="0" w:space="0" w:color="auto"/>
          </w:divBdr>
        </w:div>
      </w:divsChild>
    </w:div>
    <w:div w:id="1863083337">
      <w:bodyDiv w:val="1"/>
      <w:marLeft w:val="0"/>
      <w:marRight w:val="0"/>
      <w:marTop w:val="0"/>
      <w:marBottom w:val="0"/>
      <w:divBdr>
        <w:top w:val="none" w:sz="0" w:space="0" w:color="auto"/>
        <w:left w:val="none" w:sz="0" w:space="0" w:color="auto"/>
        <w:bottom w:val="none" w:sz="0" w:space="0" w:color="auto"/>
        <w:right w:val="none" w:sz="0" w:space="0" w:color="auto"/>
      </w:divBdr>
      <w:divsChild>
        <w:div w:id="2066679631">
          <w:marLeft w:val="0"/>
          <w:marRight w:val="0"/>
          <w:marTop w:val="0"/>
          <w:marBottom w:val="0"/>
          <w:divBdr>
            <w:top w:val="none" w:sz="0" w:space="0" w:color="auto"/>
            <w:left w:val="none" w:sz="0" w:space="0" w:color="auto"/>
            <w:bottom w:val="none" w:sz="0" w:space="0" w:color="auto"/>
            <w:right w:val="none" w:sz="0" w:space="0" w:color="auto"/>
          </w:divBdr>
          <w:divsChild>
            <w:div w:id="1391420967">
              <w:marLeft w:val="0"/>
              <w:marRight w:val="0"/>
              <w:marTop w:val="0"/>
              <w:marBottom w:val="0"/>
              <w:divBdr>
                <w:top w:val="none" w:sz="0" w:space="0" w:color="auto"/>
                <w:left w:val="none" w:sz="0" w:space="0" w:color="auto"/>
                <w:bottom w:val="none" w:sz="0" w:space="0" w:color="auto"/>
                <w:right w:val="none" w:sz="0" w:space="0" w:color="auto"/>
              </w:divBdr>
              <w:divsChild>
                <w:div w:id="1933539679">
                  <w:marLeft w:val="0"/>
                  <w:marRight w:val="0"/>
                  <w:marTop w:val="0"/>
                  <w:marBottom w:val="0"/>
                  <w:divBdr>
                    <w:top w:val="none" w:sz="0" w:space="0" w:color="auto"/>
                    <w:left w:val="none" w:sz="0" w:space="0" w:color="auto"/>
                    <w:bottom w:val="none" w:sz="0" w:space="0" w:color="auto"/>
                    <w:right w:val="none" w:sz="0" w:space="0" w:color="auto"/>
                  </w:divBdr>
                  <w:divsChild>
                    <w:div w:id="34434128">
                      <w:marLeft w:val="0"/>
                      <w:marRight w:val="0"/>
                      <w:marTop w:val="0"/>
                      <w:marBottom w:val="0"/>
                      <w:divBdr>
                        <w:top w:val="none" w:sz="0" w:space="0" w:color="auto"/>
                        <w:left w:val="none" w:sz="0" w:space="0" w:color="auto"/>
                        <w:bottom w:val="none" w:sz="0" w:space="0" w:color="auto"/>
                        <w:right w:val="none" w:sz="0" w:space="0" w:color="auto"/>
                      </w:divBdr>
                      <w:divsChild>
                        <w:div w:id="623653938">
                          <w:marLeft w:val="0"/>
                          <w:marRight w:val="0"/>
                          <w:marTop w:val="0"/>
                          <w:marBottom w:val="0"/>
                          <w:divBdr>
                            <w:top w:val="none" w:sz="0" w:space="0" w:color="auto"/>
                            <w:left w:val="none" w:sz="0" w:space="0" w:color="auto"/>
                            <w:bottom w:val="none" w:sz="0" w:space="0" w:color="auto"/>
                            <w:right w:val="none" w:sz="0" w:space="0" w:color="auto"/>
                          </w:divBdr>
                          <w:divsChild>
                            <w:div w:id="573901736">
                              <w:marLeft w:val="0"/>
                              <w:marRight w:val="0"/>
                              <w:marTop w:val="120"/>
                              <w:marBottom w:val="0"/>
                              <w:divBdr>
                                <w:top w:val="none" w:sz="0" w:space="0" w:color="auto"/>
                                <w:left w:val="none" w:sz="0" w:space="0" w:color="auto"/>
                                <w:bottom w:val="none" w:sz="0" w:space="0" w:color="auto"/>
                                <w:right w:val="none" w:sz="0" w:space="0" w:color="auto"/>
                              </w:divBdr>
                              <w:divsChild>
                                <w:div w:id="270478727">
                                  <w:marLeft w:val="0"/>
                                  <w:marRight w:val="120"/>
                                  <w:marTop w:val="0"/>
                                  <w:marBottom w:val="0"/>
                                  <w:divBdr>
                                    <w:top w:val="none" w:sz="0" w:space="0" w:color="auto"/>
                                    <w:left w:val="none" w:sz="0" w:space="0" w:color="auto"/>
                                    <w:bottom w:val="none" w:sz="0" w:space="0" w:color="auto"/>
                                    <w:right w:val="none" w:sz="0" w:space="0" w:color="auto"/>
                                  </w:divBdr>
                                  <w:divsChild>
                                    <w:div w:id="1650556133">
                                      <w:marLeft w:val="0"/>
                                      <w:marRight w:val="0"/>
                                      <w:marTop w:val="0"/>
                                      <w:marBottom w:val="0"/>
                                      <w:divBdr>
                                        <w:top w:val="single" w:sz="6" w:space="0" w:color="D6D5D4"/>
                                        <w:left w:val="single" w:sz="6" w:space="0" w:color="D6D5D4"/>
                                        <w:bottom w:val="single" w:sz="6" w:space="0" w:color="D6D5D4"/>
                                        <w:right w:val="single" w:sz="6" w:space="0" w:color="D6D5D4"/>
                                      </w:divBdr>
                                      <w:divsChild>
                                        <w:div w:id="2034332379">
                                          <w:marLeft w:val="0"/>
                                          <w:marRight w:val="0"/>
                                          <w:marTop w:val="0"/>
                                          <w:marBottom w:val="0"/>
                                          <w:divBdr>
                                            <w:top w:val="single" w:sz="6" w:space="8" w:color="BEBEBD"/>
                                            <w:left w:val="single" w:sz="6" w:space="8" w:color="BEBEBD"/>
                                            <w:bottom w:val="single" w:sz="6" w:space="8" w:color="BEBEBD"/>
                                            <w:right w:val="single" w:sz="6" w:space="8" w:color="BEBEBD"/>
                                          </w:divBdr>
                                        </w:div>
                                      </w:divsChild>
                                    </w:div>
                                  </w:divsChild>
                                </w:div>
                              </w:divsChild>
                            </w:div>
                          </w:divsChild>
                        </w:div>
                      </w:divsChild>
                    </w:div>
                  </w:divsChild>
                </w:div>
              </w:divsChild>
            </w:div>
          </w:divsChild>
        </w:div>
      </w:divsChild>
    </w:div>
    <w:div w:id="2016378468">
      <w:bodyDiv w:val="1"/>
      <w:marLeft w:val="0"/>
      <w:marRight w:val="0"/>
      <w:marTop w:val="0"/>
      <w:marBottom w:val="0"/>
      <w:divBdr>
        <w:top w:val="none" w:sz="0" w:space="0" w:color="auto"/>
        <w:left w:val="none" w:sz="0" w:space="0" w:color="auto"/>
        <w:bottom w:val="none" w:sz="0" w:space="0" w:color="auto"/>
        <w:right w:val="none" w:sz="0" w:space="0" w:color="auto"/>
      </w:divBdr>
      <w:divsChild>
        <w:div w:id="1081682825">
          <w:marLeft w:val="360"/>
          <w:marRight w:val="0"/>
          <w:marTop w:val="0"/>
          <w:marBottom w:val="0"/>
          <w:divBdr>
            <w:top w:val="none" w:sz="0" w:space="0" w:color="auto"/>
            <w:left w:val="none" w:sz="0" w:space="0" w:color="auto"/>
            <w:bottom w:val="none" w:sz="0" w:space="0" w:color="auto"/>
            <w:right w:val="none" w:sz="0" w:space="0" w:color="auto"/>
          </w:divBdr>
        </w:div>
        <w:div w:id="791292196">
          <w:marLeft w:val="720"/>
          <w:marRight w:val="0"/>
          <w:marTop w:val="0"/>
          <w:marBottom w:val="0"/>
          <w:divBdr>
            <w:top w:val="none" w:sz="0" w:space="0" w:color="auto"/>
            <w:left w:val="none" w:sz="0" w:space="0" w:color="auto"/>
            <w:bottom w:val="none" w:sz="0" w:space="0" w:color="auto"/>
            <w:right w:val="none" w:sz="0" w:space="0" w:color="auto"/>
          </w:divBdr>
        </w:div>
        <w:div w:id="1738092449">
          <w:marLeft w:val="360"/>
          <w:marRight w:val="0"/>
          <w:marTop w:val="0"/>
          <w:marBottom w:val="0"/>
          <w:divBdr>
            <w:top w:val="none" w:sz="0" w:space="0" w:color="auto"/>
            <w:left w:val="none" w:sz="0" w:space="0" w:color="auto"/>
            <w:bottom w:val="none" w:sz="0" w:space="0" w:color="auto"/>
            <w:right w:val="none" w:sz="0" w:space="0" w:color="auto"/>
          </w:divBdr>
        </w:div>
        <w:div w:id="1372001545">
          <w:marLeft w:val="709"/>
          <w:marRight w:val="0"/>
          <w:marTop w:val="0"/>
          <w:marBottom w:val="0"/>
          <w:divBdr>
            <w:top w:val="none" w:sz="0" w:space="0" w:color="auto"/>
            <w:left w:val="none" w:sz="0" w:space="0" w:color="auto"/>
            <w:bottom w:val="none" w:sz="0" w:space="0" w:color="auto"/>
            <w:right w:val="none" w:sz="0" w:space="0" w:color="auto"/>
          </w:divBdr>
        </w:div>
        <w:div w:id="275478749">
          <w:marLeft w:val="360"/>
          <w:marRight w:val="0"/>
          <w:marTop w:val="0"/>
          <w:marBottom w:val="0"/>
          <w:divBdr>
            <w:top w:val="none" w:sz="0" w:space="0" w:color="auto"/>
            <w:left w:val="none" w:sz="0" w:space="0" w:color="auto"/>
            <w:bottom w:val="none" w:sz="0" w:space="0" w:color="auto"/>
            <w:right w:val="none" w:sz="0" w:space="0" w:color="auto"/>
          </w:divBdr>
        </w:div>
        <w:div w:id="1373965365">
          <w:marLeft w:val="360"/>
          <w:marRight w:val="0"/>
          <w:marTop w:val="0"/>
          <w:marBottom w:val="0"/>
          <w:divBdr>
            <w:top w:val="none" w:sz="0" w:space="0" w:color="auto"/>
            <w:left w:val="none" w:sz="0" w:space="0" w:color="auto"/>
            <w:bottom w:val="none" w:sz="0" w:space="0" w:color="auto"/>
            <w:right w:val="none" w:sz="0" w:space="0" w:color="auto"/>
          </w:divBdr>
        </w:div>
        <w:div w:id="1590852517">
          <w:marLeft w:val="360"/>
          <w:marRight w:val="0"/>
          <w:marTop w:val="0"/>
          <w:marBottom w:val="0"/>
          <w:divBdr>
            <w:top w:val="none" w:sz="0" w:space="0" w:color="auto"/>
            <w:left w:val="none" w:sz="0" w:space="0" w:color="auto"/>
            <w:bottom w:val="none" w:sz="0" w:space="0" w:color="auto"/>
            <w:right w:val="none" w:sz="0" w:space="0" w:color="auto"/>
          </w:divBdr>
        </w:div>
        <w:div w:id="531190025">
          <w:marLeft w:val="720"/>
          <w:marRight w:val="0"/>
          <w:marTop w:val="0"/>
          <w:marBottom w:val="0"/>
          <w:divBdr>
            <w:top w:val="none" w:sz="0" w:space="0" w:color="auto"/>
            <w:left w:val="none" w:sz="0" w:space="0" w:color="auto"/>
            <w:bottom w:val="none" w:sz="0" w:space="0" w:color="auto"/>
            <w:right w:val="none" w:sz="0" w:space="0" w:color="auto"/>
          </w:divBdr>
        </w:div>
        <w:div w:id="1692146168">
          <w:marLeft w:val="360"/>
          <w:marRight w:val="0"/>
          <w:marTop w:val="0"/>
          <w:marBottom w:val="0"/>
          <w:divBdr>
            <w:top w:val="none" w:sz="0" w:space="0" w:color="auto"/>
            <w:left w:val="none" w:sz="0" w:space="0" w:color="auto"/>
            <w:bottom w:val="none" w:sz="0" w:space="0" w:color="auto"/>
            <w:right w:val="none" w:sz="0" w:space="0" w:color="auto"/>
          </w:divBdr>
        </w:div>
        <w:div w:id="1635716303">
          <w:marLeft w:val="720"/>
          <w:marRight w:val="0"/>
          <w:marTop w:val="0"/>
          <w:marBottom w:val="0"/>
          <w:divBdr>
            <w:top w:val="none" w:sz="0" w:space="0" w:color="auto"/>
            <w:left w:val="none" w:sz="0" w:space="0" w:color="auto"/>
            <w:bottom w:val="none" w:sz="0" w:space="0" w:color="auto"/>
            <w:right w:val="none" w:sz="0" w:space="0" w:color="auto"/>
          </w:divBdr>
        </w:div>
        <w:div w:id="1863861876">
          <w:marLeft w:val="360"/>
          <w:marRight w:val="0"/>
          <w:marTop w:val="0"/>
          <w:marBottom w:val="0"/>
          <w:divBdr>
            <w:top w:val="none" w:sz="0" w:space="0" w:color="auto"/>
            <w:left w:val="none" w:sz="0" w:space="0" w:color="auto"/>
            <w:bottom w:val="none" w:sz="0" w:space="0" w:color="auto"/>
            <w:right w:val="none" w:sz="0" w:space="0" w:color="auto"/>
          </w:divBdr>
        </w:div>
        <w:div w:id="1814365627">
          <w:marLeft w:val="720"/>
          <w:marRight w:val="0"/>
          <w:marTop w:val="0"/>
          <w:marBottom w:val="0"/>
          <w:divBdr>
            <w:top w:val="none" w:sz="0" w:space="0" w:color="auto"/>
            <w:left w:val="none" w:sz="0" w:space="0" w:color="auto"/>
            <w:bottom w:val="none" w:sz="0" w:space="0" w:color="auto"/>
            <w:right w:val="none" w:sz="0" w:space="0" w:color="auto"/>
          </w:divBdr>
        </w:div>
        <w:div w:id="1677151245">
          <w:marLeft w:val="360"/>
          <w:marRight w:val="0"/>
          <w:marTop w:val="0"/>
          <w:marBottom w:val="0"/>
          <w:divBdr>
            <w:top w:val="none" w:sz="0" w:space="0" w:color="auto"/>
            <w:left w:val="none" w:sz="0" w:space="0" w:color="auto"/>
            <w:bottom w:val="none" w:sz="0" w:space="0" w:color="auto"/>
            <w:right w:val="none" w:sz="0" w:space="0" w:color="auto"/>
          </w:divBdr>
        </w:div>
        <w:div w:id="873542252">
          <w:marLeft w:val="360"/>
          <w:marRight w:val="0"/>
          <w:marTop w:val="0"/>
          <w:marBottom w:val="0"/>
          <w:divBdr>
            <w:top w:val="none" w:sz="0" w:space="0" w:color="auto"/>
            <w:left w:val="none" w:sz="0" w:space="0" w:color="auto"/>
            <w:bottom w:val="none" w:sz="0" w:space="0" w:color="auto"/>
            <w:right w:val="none" w:sz="0" w:space="0" w:color="auto"/>
          </w:divBdr>
        </w:div>
      </w:divsChild>
    </w:div>
    <w:div w:id="2067026382">
      <w:bodyDiv w:val="1"/>
      <w:marLeft w:val="0"/>
      <w:marRight w:val="0"/>
      <w:marTop w:val="0"/>
      <w:marBottom w:val="0"/>
      <w:divBdr>
        <w:top w:val="none" w:sz="0" w:space="0" w:color="auto"/>
        <w:left w:val="none" w:sz="0" w:space="0" w:color="auto"/>
        <w:bottom w:val="none" w:sz="0" w:space="0" w:color="auto"/>
        <w:right w:val="none" w:sz="0" w:space="0" w:color="auto"/>
      </w:divBdr>
      <w:divsChild>
        <w:div w:id="1206871014">
          <w:marLeft w:val="0"/>
          <w:marRight w:val="0"/>
          <w:marTop w:val="0"/>
          <w:marBottom w:val="0"/>
          <w:divBdr>
            <w:top w:val="none" w:sz="0" w:space="0" w:color="auto"/>
            <w:left w:val="none" w:sz="0" w:space="0" w:color="auto"/>
            <w:bottom w:val="none" w:sz="0" w:space="0" w:color="auto"/>
            <w:right w:val="none" w:sz="0" w:space="0" w:color="auto"/>
          </w:divBdr>
        </w:div>
        <w:div w:id="137386513">
          <w:marLeft w:val="0"/>
          <w:marRight w:val="0"/>
          <w:marTop w:val="0"/>
          <w:marBottom w:val="0"/>
          <w:divBdr>
            <w:top w:val="none" w:sz="0" w:space="0" w:color="auto"/>
            <w:left w:val="none" w:sz="0" w:space="0" w:color="auto"/>
            <w:bottom w:val="none" w:sz="0" w:space="0" w:color="auto"/>
            <w:right w:val="none" w:sz="0" w:space="0" w:color="auto"/>
          </w:divBdr>
        </w:div>
        <w:div w:id="1309358640">
          <w:marLeft w:val="0"/>
          <w:marRight w:val="0"/>
          <w:marTop w:val="0"/>
          <w:marBottom w:val="0"/>
          <w:divBdr>
            <w:top w:val="none" w:sz="0" w:space="0" w:color="auto"/>
            <w:left w:val="none" w:sz="0" w:space="0" w:color="auto"/>
            <w:bottom w:val="none" w:sz="0" w:space="0" w:color="auto"/>
            <w:right w:val="none" w:sz="0" w:space="0" w:color="auto"/>
          </w:divBdr>
        </w:div>
        <w:div w:id="1299798638">
          <w:marLeft w:val="0"/>
          <w:marRight w:val="0"/>
          <w:marTop w:val="0"/>
          <w:marBottom w:val="0"/>
          <w:divBdr>
            <w:top w:val="none" w:sz="0" w:space="0" w:color="auto"/>
            <w:left w:val="none" w:sz="0" w:space="0" w:color="auto"/>
            <w:bottom w:val="none" w:sz="0" w:space="0" w:color="auto"/>
            <w:right w:val="none" w:sz="0" w:space="0" w:color="auto"/>
          </w:divBdr>
        </w:div>
        <w:div w:id="1327712135">
          <w:marLeft w:val="0"/>
          <w:marRight w:val="0"/>
          <w:marTop w:val="0"/>
          <w:marBottom w:val="0"/>
          <w:divBdr>
            <w:top w:val="none" w:sz="0" w:space="0" w:color="auto"/>
            <w:left w:val="none" w:sz="0" w:space="0" w:color="auto"/>
            <w:bottom w:val="none" w:sz="0" w:space="0" w:color="auto"/>
            <w:right w:val="none" w:sz="0" w:space="0" w:color="auto"/>
          </w:divBdr>
        </w:div>
        <w:div w:id="625039649">
          <w:marLeft w:val="0"/>
          <w:marRight w:val="0"/>
          <w:marTop w:val="0"/>
          <w:marBottom w:val="0"/>
          <w:divBdr>
            <w:top w:val="none" w:sz="0" w:space="0" w:color="auto"/>
            <w:left w:val="none" w:sz="0" w:space="0" w:color="auto"/>
            <w:bottom w:val="none" w:sz="0" w:space="0" w:color="auto"/>
            <w:right w:val="none" w:sz="0" w:space="0" w:color="auto"/>
          </w:divBdr>
        </w:div>
        <w:div w:id="1633247330">
          <w:marLeft w:val="0"/>
          <w:marRight w:val="0"/>
          <w:marTop w:val="0"/>
          <w:marBottom w:val="0"/>
          <w:divBdr>
            <w:top w:val="none" w:sz="0" w:space="0" w:color="auto"/>
            <w:left w:val="none" w:sz="0" w:space="0" w:color="auto"/>
            <w:bottom w:val="none" w:sz="0" w:space="0" w:color="auto"/>
            <w:right w:val="none" w:sz="0" w:space="0" w:color="auto"/>
          </w:divBdr>
        </w:div>
        <w:div w:id="628361795">
          <w:marLeft w:val="0"/>
          <w:marRight w:val="0"/>
          <w:marTop w:val="0"/>
          <w:marBottom w:val="0"/>
          <w:divBdr>
            <w:top w:val="none" w:sz="0" w:space="0" w:color="auto"/>
            <w:left w:val="none" w:sz="0" w:space="0" w:color="auto"/>
            <w:bottom w:val="none" w:sz="0" w:space="0" w:color="auto"/>
            <w:right w:val="none" w:sz="0" w:space="0" w:color="auto"/>
          </w:divBdr>
        </w:div>
      </w:divsChild>
    </w:div>
    <w:div w:id="2068796266">
      <w:bodyDiv w:val="1"/>
      <w:marLeft w:val="0"/>
      <w:marRight w:val="0"/>
      <w:marTop w:val="0"/>
      <w:marBottom w:val="0"/>
      <w:divBdr>
        <w:top w:val="none" w:sz="0" w:space="0" w:color="auto"/>
        <w:left w:val="none" w:sz="0" w:space="0" w:color="auto"/>
        <w:bottom w:val="none" w:sz="0" w:space="0" w:color="auto"/>
        <w:right w:val="none" w:sz="0" w:space="0" w:color="auto"/>
      </w:divBdr>
      <w:divsChild>
        <w:div w:id="1646542134">
          <w:marLeft w:val="360"/>
          <w:marRight w:val="0"/>
          <w:marTop w:val="0"/>
          <w:marBottom w:val="0"/>
          <w:divBdr>
            <w:top w:val="none" w:sz="0" w:space="0" w:color="auto"/>
            <w:left w:val="none" w:sz="0" w:space="0" w:color="auto"/>
            <w:bottom w:val="none" w:sz="0" w:space="0" w:color="auto"/>
            <w:right w:val="none" w:sz="0" w:space="0" w:color="auto"/>
          </w:divBdr>
        </w:div>
        <w:div w:id="1225751976">
          <w:marLeft w:val="720"/>
          <w:marRight w:val="0"/>
          <w:marTop w:val="0"/>
          <w:marBottom w:val="0"/>
          <w:divBdr>
            <w:top w:val="none" w:sz="0" w:space="0" w:color="auto"/>
            <w:left w:val="none" w:sz="0" w:space="0" w:color="auto"/>
            <w:bottom w:val="none" w:sz="0" w:space="0" w:color="auto"/>
            <w:right w:val="none" w:sz="0" w:space="0" w:color="auto"/>
          </w:divBdr>
        </w:div>
        <w:div w:id="838083690">
          <w:marLeft w:val="360"/>
          <w:marRight w:val="0"/>
          <w:marTop w:val="0"/>
          <w:marBottom w:val="0"/>
          <w:divBdr>
            <w:top w:val="none" w:sz="0" w:space="0" w:color="auto"/>
            <w:left w:val="none" w:sz="0" w:space="0" w:color="auto"/>
            <w:bottom w:val="none" w:sz="0" w:space="0" w:color="auto"/>
            <w:right w:val="none" w:sz="0" w:space="0" w:color="auto"/>
          </w:divBdr>
        </w:div>
        <w:div w:id="52505492">
          <w:marLeft w:val="709"/>
          <w:marRight w:val="0"/>
          <w:marTop w:val="0"/>
          <w:marBottom w:val="0"/>
          <w:divBdr>
            <w:top w:val="none" w:sz="0" w:space="0" w:color="auto"/>
            <w:left w:val="none" w:sz="0" w:space="0" w:color="auto"/>
            <w:bottom w:val="none" w:sz="0" w:space="0" w:color="auto"/>
            <w:right w:val="none" w:sz="0" w:space="0" w:color="auto"/>
          </w:divBdr>
        </w:div>
        <w:div w:id="1564952512">
          <w:marLeft w:val="360"/>
          <w:marRight w:val="0"/>
          <w:marTop w:val="0"/>
          <w:marBottom w:val="0"/>
          <w:divBdr>
            <w:top w:val="none" w:sz="0" w:space="0" w:color="auto"/>
            <w:left w:val="none" w:sz="0" w:space="0" w:color="auto"/>
            <w:bottom w:val="none" w:sz="0" w:space="0" w:color="auto"/>
            <w:right w:val="none" w:sz="0" w:space="0" w:color="auto"/>
          </w:divBdr>
        </w:div>
        <w:div w:id="694886008">
          <w:marLeft w:val="360"/>
          <w:marRight w:val="0"/>
          <w:marTop w:val="0"/>
          <w:marBottom w:val="0"/>
          <w:divBdr>
            <w:top w:val="none" w:sz="0" w:space="0" w:color="auto"/>
            <w:left w:val="none" w:sz="0" w:space="0" w:color="auto"/>
            <w:bottom w:val="none" w:sz="0" w:space="0" w:color="auto"/>
            <w:right w:val="none" w:sz="0" w:space="0" w:color="auto"/>
          </w:divBdr>
        </w:div>
        <w:div w:id="1930653159">
          <w:marLeft w:val="360"/>
          <w:marRight w:val="0"/>
          <w:marTop w:val="0"/>
          <w:marBottom w:val="0"/>
          <w:divBdr>
            <w:top w:val="none" w:sz="0" w:space="0" w:color="auto"/>
            <w:left w:val="none" w:sz="0" w:space="0" w:color="auto"/>
            <w:bottom w:val="none" w:sz="0" w:space="0" w:color="auto"/>
            <w:right w:val="none" w:sz="0" w:space="0" w:color="auto"/>
          </w:divBdr>
        </w:div>
        <w:div w:id="1381052765">
          <w:marLeft w:val="720"/>
          <w:marRight w:val="0"/>
          <w:marTop w:val="0"/>
          <w:marBottom w:val="0"/>
          <w:divBdr>
            <w:top w:val="none" w:sz="0" w:space="0" w:color="auto"/>
            <w:left w:val="none" w:sz="0" w:space="0" w:color="auto"/>
            <w:bottom w:val="none" w:sz="0" w:space="0" w:color="auto"/>
            <w:right w:val="none" w:sz="0" w:space="0" w:color="auto"/>
          </w:divBdr>
        </w:div>
        <w:div w:id="1254823702">
          <w:marLeft w:val="360"/>
          <w:marRight w:val="0"/>
          <w:marTop w:val="0"/>
          <w:marBottom w:val="0"/>
          <w:divBdr>
            <w:top w:val="none" w:sz="0" w:space="0" w:color="auto"/>
            <w:left w:val="none" w:sz="0" w:space="0" w:color="auto"/>
            <w:bottom w:val="none" w:sz="0" w:space="0" w:color="auto"/>
            <w:right w:val="none" w:sz="0" w:space="0" w:color="auto"/>
          </w:divBdr>
        </w:div>
        <w:div w:id="627705298">
          <w:marLeft w:val="720"/>
          <w:marRight w:val="0"/>
          <w:marTop w:val="0"/>
          <w:marBottom w:val="0"/>
          <w:divBdr>
            <w:top w:val="none" w:sz="0" w:space="0" w:color="auto"/>
            <w:left w:val="none" w:sz="0" w:space="0" w:color="auto"/>
            <w:bottom w:val="none" w:sz="0" w:space="0" w:color="auto"/>
            <w:right w:val="none" w:sz="0" w:space="0" w:color="auto"/>
          </w:divBdr>
        </w:div>
        <w:div w:id="1529563801">
          <w:marLeft w:val="360"/>
          <w:marRight w:val="0"/>
          <w:marTop w:val="0"/>
          <w:marBottom w:val="0"/>
          <w:divBdr>
            <w:top w:val="none" w:sz="0" w:space="0" w:color="auto"/>
            <w:left w:val="none" w:sz="0" w:space="0" w:color="auto"/>
            <w:bottom w:val="none" w:sz="0" w:space="0" w:color="auto"/>
            <w:right w:val="none" w:sz="0" w:space="0" w:color="auto"/>
          </w:divBdr>
        </w:div>
        <w:div w:id="1958633329">
          <w:marLeft w:val="720"/>
          <w:marRight w:val="0"/>
          <w:marTop w:val="0"/>
          <w:marBottom w:val="0"/>
          <w:divBdr>
            <w:top w:val="none" w:sz="0" w:space="0" w:color="auto"/>
            <w:left w:val="none" w:sz="0" w:space="0" w:color="auto"/>
            <w:bottom w:val="none" w:sz="0" w:space="0" w:color="auto"/>
            <w:right w:val="none" w:sz="0" w:space="0" w:color="auto"/>
          </w:divBdr>
        </w:div>
        <w:div w:id="117377912">
          <w:marLeft w:val="360"/>
          <w:marRight w:val="0"/>
          <w:marTop w:val="0"/>
          <w:marBottom w:val="0"/>
          <w:divBdr>
            <w:top w:val="none" w:sz="0" w:space="0" w:color="auto"/>
            <w:left w:val="none" w:sz="0" w:space="0" w:color="auto"/>
            <w:bottom w:val="none" w:sz="0" w:space="0" w:color="auto"/>
            <w:right w:val="none" w:sz="0" w:space="0" w:color="auto"/>
          </w:divBdr>
        </w:div>
      </w:divsChild>
    </w:div>
    <w:div w:id="2130195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seindia.com/markets/Derivatives/DeriReports/MWPL.aspx?expandable=0" TargetMode="External"/><Relationship Id="rId13" Type="http://schemas.openxmlformats.org/officeDocument/2006/relationships/hyperlink" Target="http://www.bseindia.com/markets/MarketInfo/DispNewNoticesCirculars.aspx?page=20150910-21" TargetMode="External"/><Relationship Id="rId18" Type="http://schemas.openxmlformats.org/officeDocument/2006/relationships/hyperlink" Target="http://www.bseindia.com/markets/MarketInfo/DispNewNoticesCirculars.aspx?page=20131011-22"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bseindia.com/markets/Derivatives/DeriReports/DeriClearingMember.aspx?expandable=1" TargetMode="External"/><Relationship Id="rId7" Type="http://schemas.openxmlformats.org/officeDocument/2006/relationships/endnotes" Target="endnotes.xml"/><Relationship Id="rId12" Type="http://schemas.openxmlformats.org/officeDocument/2006/relationships/hyperlink" Target="http://www.bseindia.com/markets/MarketInfo/DispNewNoticesCirculars.aspx?page=20150522-54" TargetMode="External"/><Relationship Id="rId17" Type="http://schemas.openxmlformats.org/officeDocument/2006/relationships/hyperlink" Target="http://www.bseindia.com/markets/MarketInfo/DispNewNoticesCirculars.aspx?page=20160205-15" TargetMode="External"/><Relationship Id="rId25" Type="http://schemas.openxmlformats.org/officeDocument/2006/relationships/hyperlink" Target="http://www.bseindia.com/members/deri_segment.aspx?expandable=5" TargetMode="External"/><Relationship Id="rId2" Type="http://schemas.openxmlformats.org/officeDocument/2006/relationships/numbering" Target="numbering.xml"/><Relationship Id="rId16" Type="http://schemas.openxmlformats.org/officeDocument/2006/relationships/hyperlink" Target="http://www.bseindia.com/markets/MarketInfo/DispNewNoticesCirculars.aspx?page=20160113-2" TargetMode="External"/><Relationship Id="rId20" Type="http://schemas.openxmlformats.org/officeDocument/2006/relationships/hyperlink" Target="http://www.bseindia.com/markets/Derivatives/DeriReports/DeriMarketDisclosures.aspx?expandable=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seindia.com/markets/MarketInfo/DispNewNoticesCirculars.aspx?page=20140509-27" TargetMode="External"/><Relationship Id="rId24" Type="http://schemas.openxmlformats.org/officeDocument/2006/relationships/hyperlink" Target="http://www.bseindia.com/markets/Derivatives/DeriReports/download.aspx?expandable=7" TargetMode="External"/><Relationship Id="rId5" Type="http://schemas.openxmlformats.org/officeDocument/2006/relationships/webSettings" Target="webSettings.xml"/><Relationship Id="rId15" Type="http://schemas.openxmlformats.org/officeDocument/2006/relationships/hyperlink" Target="http://www.bseindia.com/markets/MarketInfo/DispNewNoticesCirculars.aspx?page=20151021-36" TargetMode="External"/><Relationship Id="rId23" Type="http://schemas.openxmlformats.org/officeDocument/2006/relationships/hyperlink" Target="http://www.bseindia.com/markets/Derivatives/DeriReports/Deripositiongroup.aspx?%09expandable=1" TargetMode="External"/><Relationship Id="rId10" Type="http://schemas.openxmlformats.org/officeDocument/2006/relationships/hyperlink" Target="http://www.bseindia.com/markets/MarketInfo/DispNewNoticesCirculars.aspx?page=20040901-7" TargetMode="External"/><Relationship Id="rId19" Type="http://schemas.openxmlformats.org/officeDocument/2006/relationships/hyperlink" Target="http://www.bseindia.com/markets/MarketInfo/DispNewNoticesCirculars.aspx?page=20130307-21" TargetMode="External"/><Relationship Id="rId4" Type="http://schemas.openxmlformats.org/officeDocument/2006/relationships/settings" Target="settings.xml"/><Relationship Id="rId9" Type="http://schemas.openxmlformats.org/officeDocument/2006/relationships/hyperlink" Target="http://www.bseindia.com/markets/MarketInfo/DispNewNoticesCirculars.aspx?page=20040910-12" TargetMode="External"/><Relationship Id="rId14" Type="http://schemas.openxmlformats.org/officeDocument/2006/relationships/hyperlink" Target="http://www.bseindia.com/markets/MarketInfo/DispNewNoticesCirculars.aspx?page=20150814-27" TargetMode="External"/><Relationship Id="rId22" Type="http://schemas.openxmlformats.org/officeDocument/2006/relationships/hyperlink" Target="http://www.bseindia.com/markets/Derivatives/DeriReports/DeriClientPosition.aspx?expandable=1"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11716-2783-48A0-AF54-D262BCE40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3497</Words>
  <Characters>19938</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BSE</Company>
  <LinksUpToDate>false</LinksUpToDate>
  <CharactersWithSpaces>23389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Nivedita Khatri</dc:creator>
  <cp:keywords/>
  <dc:description/>
  <cp:lastModifiedBy>Anish Nair</cp:lastModifiedBy>
  <cp:revision>2</cp:revision>
  <cp:lastPrinted>2014-12-19T07:17:00Z</cp:lastPrinted>
  <dcterms:created xsi:type="dcterms:W3CDTF">2016-12-30T11:28:00Z</dcterms:created>
  <dcterms:modified xsi:type="dcterms:W3CDTF">2016-12-30T11:28:00Z</dcterms:modified>
</cp:coreProperties>
</file>