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rPr>
          <w:rFonts w:ascii="Calibri-Bold" w:hAnsi="Calibri-Bold" w:cs="Calibri-Bold"/>
          <w:b/>
          <w:bCs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Annexure 1 – DR Connection parameters of BOLT Plus Trading system for Commodity</w:t>
      </w:r>
      <w:r/>
    </w:p>
    <w:p>
      <w:pPr>
        <w:spacing w:lineRule="auto" w:line="240" w:after="0"/>
        <w:rPr>
          <w:rFonts w:ascii="Calibri-Bold" w:hAnsi="Calibri-Bold" w:cs="Calibri-Bold"/>
          <w:b/>
          <w:bCs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Derivatives segment</w:t>
      </w:r>
      <w:r/>
    </w:p>
    <w:p>
      <w:pPr>
        <w:spacing w:lineRule="auto" w:line="240" w:after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Trading members can connect to the DR site of BOLT Plus trading system using either BOLT TWS</w:t>
      </w:r>
      <w:r/>
    </w:p>
    <w:p>
      <w:pPr>
        <w:spacing w:lineRule="auto" w:line="240" w:after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or 3</w:t>
      </w:r>
      <w:r>
        <w:rPr>
          <w:rFonts w:ascii="Calibri" w:hAnsi="Calibri" w:cs="Calibri"/>
          <w:sz w:val="16"/>
          <w:szCs w:val="16"/>
        </w:rPr>
        <w:t xml:space="preserve">rd </w:t>
      </w:r>
      <w:r>
        <w:rPr>
          <w:rFonts w:ascii="Calibri" w:hAnsi="Calibri" w:cs="Calibri"/>
          <w:sz w:val="23"/>
          <w:szCs w:val="23"/>
        </w:rPr>
        <w:t xml:space="preserve">party trading application of empanelled vendors or in-house developed systems through</w:t>
      </w:r>
      <w:r/>
    </w:p>
    <w:p>
      <w:pPr>
        <w:spacing w:lineRule="auto" w:line="240" w:after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ETI APIs as follows –</w:t>
      </w:r>
      <w:r/>
    </w:p>
    <w:p>
      <w:pPr>
        <w:spacing w:lineRule="auto" w:line="240" w:after="0"/>
        <w:rPr>
          <w:rFonts w:ascii="Calibri-Bold" w:hAnsi="Calibri-Bold" w:cs="Calibri-Bold"/>
          <w:b/>
          <w:bCs/>
          <w:sz w:val="23"/>
          <w:szCs w:val="23"/>
        </w:rPr>
      </w:pPr>
      <w:r>
        <w:rPr>
          <w:rFonts w:ascii="Calibri-Bold" w:hAnsi="Calibri-Bold" w:cs="Calibri-Bold"/>
          <w:b/>
          <w:bCs/>
          <w:sz w:val="23"/>
          <w:szCs w:val="23"/>
        </w:rPr>
        <w:t xml:space="preserve">1. BOLT TWS Users</w:t>
      </w:r>
      <w:r/>
    </w:p>
    <w:p>
      <w:pPr>
        <w:spacing w:lineRule="auto" w:line="240" w:after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Trading members shall have to change the technical connection parameters in the configuration</w:t>
      </w:r>
      <w:r/>
    </w:p>
    <w:p>
      <w:pPr>
        <w:spacing w:lineRule="auto" w:line="240" w:after="0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settings window at the time of login. Configuration settings window can be invoked using the</w:t>
      </w:r>
      <w:r/>
    </w:p>
    <w:p>
      <w:pPr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scrip profile icon or “Shift+F12” shortcut keys on BOLT TWS.</w:t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789614" cy="5393169"/>
                <wp:effectExtent l="0" t="0" r="0" b="0"/>
                <wp:docPr id="3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flipH="0" flipV="0">
                          <a:off x="0" y="0"/>
                          <a:ext cx="4789613" cy="539316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377.1pt;height:424.7pt;" stroked="false">
                <v:path textboxrect="0,0,0,0"/>
                <v:imagedata r:id="rId13" o:title=""/>
              </v:shape>
            </w:pict>
          </mc:Fallback>
        </mc:AlternateContent>
      </w:r>
      <w:r/>
      <w:r/>
    </w:p>
    <w:p>
      <w:r/>
      <w:r/>
    </w:p>
    <w:p>
      <w:pPr>
        <w:spacing w:lineRule="auto" w:line="240" w:after="0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 xml:space="preserve">2. 3rd party trading application through ETI APIs</w:t>
      </w:r>
      <w:r/>
    </w:p>
    <w:p>
      <w:pPr>
        <w:spacing w:lineRule="auto" w:line="240"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i. </w:t>
      </w:r>
      <w:r>
        <w:rPr>
          <w:rFonts w:ascii="Calibri" w:hAnsi="Calibri" w:cs="Calibri"/>
          <w:sz w:val="28"/>
          <w:szCs w:val="28"/>
        </w:rPr>
        <w:t xml:space="preserve">Connecting through ETI – members shall have to change the technical</w:t>
      </w:r>
      <w:r/>
    </w:p>
    <w:p>
      <w:pPr>
        <w:spacing w:lineRule="auto" w:line="240"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connection parameters in their respective trading application as follows –</w:t>
      </w:r>
      <w:r/>
    </w:p>
    <w:p>
      <w:pPr>
        <w:spacing w:lineRule="auto" w:line="240"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Primary DR – IP: 10.255.241.</w:t>
      </w:r>
      <w:r>
        <w:rPr>
          <w:rFonts w:ascii="Calibri" w:hAnsi="Calibri" w:cs="Calibri"/>
          <w:sz w:val="28"/>
          <w:szCs w:val="28"/>
          <w:lang w:val="en-US"/>
        </w:rPr>
        <w:t xml:space="preserve">26</w:t>
      </w:r>
      <w:r>
        <w:rPr>
          <w:rFonts w:ascii="Calibri" w:hAnsi="Calibri" w:cs="Calibri"/>
          <w:sz w:val="28"/>
          <w:szCs w:val="28"/>
        </w:rPr>
        <w:t xml:space="preserve">; Port: 14908</w:t>
      </w:r>
      <w:r/>
    </w:p>
    <w:p>
      <w:pPr>
        <w:spacing w:lineRule="auto" w:line="240" w:after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Secondary DR – IP: 10.255.241.</w:t>
      </w:r>
      <w:r>
        <w:rPr>
          <w:rFonts w:ascii="Calibri" w:hAnsi="Calibri" w:cs="Calibri"/>
          <w:sz w:val="28"/>
          <w:szCs w:val="28"/>
          <w:lang w:val="en-US"/>
        </w:rPr>
        <w:t xml:space="preserve">27</w:t>
      </w:r>
      <w:r>
        <w:rPr>
          <w:rFonts w:ascii="Calibri" w:hAnsi="Calibri" w:cs="Calibri"/>
          <w:sz w:val="28"/>
          <w:szCs w:val="28"/>
        </w:rPr>
        <w:t xml:space="preserve">; Port: 14908</w:t>
      </w:r>
      <w:r/>
    </w:p>
    <w:p>
      <w:pPr>
        <w:tabs>
          <w:tab w:val="left" w:pos="5414" w:leader="none"/>
        </w:tabs>
      </w:pPr>
      <w:r>
        <w:rPr>
          <w:rFonts w:ascii="Calibri" w:hAnsi="Calibri" w:cs="Calibri"/>
          <w:sz w:val="28"/>
          <w:szCs w:val="28"/>
        </w:rPr>
        <w:t xml:space="preserve">                                                  </w:t>
      </w:r>
      <w:r>
        <w:rPr>
          <w:rFonts w:ascii="Calibri" w:hAnsi="Calibri" w:cs="Calibri"/>
          <w:sz w:val="28"/>
          <w:szCs w:val="28"/>
        </w:rPr>
        <w:t xml:space="preserve">****End of Document****</w:t>
      </w:r>
      <w:r/>
    </w:p>
    <w:sectPr>
      <w:headerReference w:type="default" r:id="rId7"/>
      <w:headerReference w:type="even" r:id="rId8"/>
      <w:headerReference w:type="first" r:id="rId9"/>
      <w:footerReference w:type="default" r:id="rId10"/>
      <w:footerReference w:type="even" r:id="rId11"/>
      <w:footerReference w:type="first" r:id="rId12"/>
      <w:footnotePr/>
      <w:type w:val="nextPage"/>
      <w:pgSz w:w="11906" w:h="16838" w:orient="portrait"/>
      <w:pgMar w:top="1440" w:right="1440" w:bottom="1440" w:left="1440" w:header="708" w:footer="708" w:gutter="0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Calibri-Bold">
    <w:panose1 w:val="020F070203040403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6"/>
      <w:jc w:val="right"/>
    </w:pPr>
    <w:r>
      <mc:AlternateContent>
        <mc:Choice Requires="wpg">
          <w:drawing>
            <wp:anchor xmlns:wp="http://schemas.openxmlformats.org/drawingml/2006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2440305</wp:posOffset>
              </wp:positionH>
              <wp:positionV relativeFrom="paragraph">
                <wp:posOffset>409575</wp:posOffset>
              </wp:positionV>
              <wp:extent cx="952279" cy="254000"/>
              <wp:effectExtent l="0" t="0" r="0" b="0"/>
              <wp:wrapNone/>
              <wp:docPr id="2" name="expertsource_setting_footer" hidden="fals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AdjustHandles="0" noChangeArrowheads="0"/>
                    </wps:cNvSpPr>
                    <wps:spPr bwMode="auto">
                      <a:xfrm>
                        <a:off x="0" y="0"/>
                        <a:ext cx="952279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45C745"/>
                              <w:sz w:val="16"/>
                            </w:rPr>
                            <w:t xml:space="preserve">BSE - PUBLIC</w:t>
                          </w:r>
                          <w:r/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/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1" style="position:absolute;mso-wrap-distance-left:9.0pt;mso-wrap-distance-top:0.0pt;mso-wrap-distance-right:9.0pt;mso-wrap-distance-bottom:0.0pt;z-index:251659264;o:allowoverlap:true;o:allowincell:true;mso-position-horizontal-relative:text;margin-left:192.1pt;mso-position-horizontal:absolute;mso-position-vertical-relative:text;margin-top:32.2pt;mso-position-vertical:absolute;width:75.0pt;height:20.0pt;v-text-anchor:top;" coordsize="100000,100000" path="" filled="f" strokeweight="0.50pt">
              <v:path textboxrect="0,0,0,0"/>
              <v:textbox>
                <w:txbxContent>
                  <w:p>
                    <w:pPr>
                      <w:rPr>
                        <w:rFonts w:ascii="Arial" w:hAnsi="Arial" w:cs="Arial"/>
                        <w:color w:val="45C745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45C745"/>
                        <w:sz w:val="16"/>
                      </w:rPr>
                      <w:t xml:space="preserve">BSE - PUBLIC</w:t>
                    </w:r>
                    <w:r/>
                  </w:p>
                </w:txbxContent>
              </v:textbox>
            </v:shape>
          </w:pict>
        </mc:Fallback>
      </mc:AlternateContent>
    </w:r>
    <w:sdt>
      <w:sdtPr>
        <w15:appearance w15:val="boundingBox"/>
        <w:id w:val="-266933432"/>
        <w:docPartObj>
          <w:docPartGallery w:val="Page Numbers (Bottom of Page)"/>
          <w:docPartUnique w:val="true"/>
        </w:docPartObj>
        <w:rPr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sdtContent>
    </w:sdt>
    <w:r/>
    <w:r/>
  </w:p>
  <w:p>
    <w:pPr>
      <w:pStyle w:val="396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6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4"/>
      <w:tabs>
        <w:tab w:val="clear" w:pos="4513" w:leader="none"/>
        <w:tab w:val="left" w:pos="6785" w:leader="none"/>
        <w:tab w:val="left" w:pos="7960" w:leader="none"/>
        <w:tab w:val="clear" w:pos="9026" w:leader="none"/>
      </w:tabs>
    </w:pPr>
    <w:r>
      <w:tab/>
    </w:r>
    <w:r>
      <w:rPr>
        <w:rFonts w:ascii="Cambria" w:hAnsi="Cambria"/>
        <w:color w:val="2F5496"/>
        <w:sz w:val="20"/>
        <w:szCs w:val="20"/>
        <w:lang w:val="en-US"/>
      </w:rPr>
      <mc:AlternateContent>
        <mc:Choice Requires="wpg">
          <w:drawing>
            <wp:inline xmlns:wp="http://schemas.openxmlformats.org/drawingml/2006/wordprocessingDrawing" distT="0" distB="0" distL="0" distR="0">
              <wp:extent cx="847215" cy="452755"/>
              <wp:effectExtent l="0" t="0" r="0" b="4445"/>
              <wp:docPr id="1" name="Picture 4" hidden="false"/>
              <wp:cNvGraphicFramePr>
                <a:graphicFrameLocks xmlns:a="http://schemas.openxmlformats.org/drawingml/2006/main" noChangeAspect="true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2" hidden="0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880346" cy="47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mso-wrap-distance-left:0.0pt;mso-wrap-distance-top:0.0pt;mso-wrap-distance-right:0.0pt;mso-wrap-distance-bottom:0.0pt;width:66.7pt;height:35.6pt;">
              <v:path textboxrect="0,0,0,0"/>
              <v:imagedata r:id="rId1" o:title=""/>
            </v:shape>
          </w:pict>
        </mc:Fallback>
      </mc:AlternateContent>
    </w:r>
    <w:r>
      <w:tab/>
      <w:t xml:space="preserve">                                                  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394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color w:val="auto"/>
        <w:spacing w:val="0"/>
        <w:position w:val="0"/>
        <w:sz w:val="22"/>
        <w:szCs w:val="22"/>
        <w:lang w:val="en-IN" w:bidi="ar-SA" w:eastAsia="en-US"/>
      </w:rPr>
    </w:rPrDefault>
    <w:pPrDefault>
      <w:pPr>
        <w:ind w:left="0" w:right="0" w:firstLine="0"/>
        <w:jc w:val="left"/>
        <w:spacing w:lineRule="auto" w:line="259" w:after="16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390"/>
    <w:next w:val="390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391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390"/>
    <w:next w:val="390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391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390"/>
    <w:next w:val="390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391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390"/>
    <w:next w:val="390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391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390"/>
    <w:next w:val="390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391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90"/>
    <w:next w:val="390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91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90"/>
    <w:next w:val="390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91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90"/>
    <w:next w:val="390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91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90"/>
    <w:next w:val="390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91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90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390"/>
    <w:next w:val="390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391"/>
    <w:link w:val="32"/>
    <w:uiPriority w:val="10"/>
    <w:rPr>
      <w:sz w:val="48"/>
      <w:szCs w:val="48"/>
    </w:rPr>
  </w:style>
  <w:style w:type="paragraph" w:styleId="34">
    <w:name w:val="Subtitle"/>
    <w:basedOn w:val="390"/>
    <w:next w:val="390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391"/>
    <w:link w:val="34"/>
    <w:uiPriority w:val="11"/>
    <w:rPr>
      <w:sz w:val="24"/>
      <w:szCs w:val="24"/>
    </w:rPr>
  </w:style>
  <w:style w:type="paragraph" w:styleId="36">
    <w:name w:val="Quote"/>
    <w:basedOn w:val="390"/>
    <w:next w:val="390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90"/>
    <w:next w:val="390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4">
    <w:name w:val="Caption"/>
    <w:basedOn w:val="390"/>
    <w:next w:val="39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396"/>
    <w:uiPriority w:val="99"/>
  </w:style>
  <w:style w:type="table" w:styleId="46">
    <w:name w:val="Table Grid"/>
    <w:basedOn w:val="39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9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9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9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9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390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91"/>
    <w:uiPriority w:val="99"/>
    <w:unhideWhenUsed/>
    <w:rPr>
      <w:vertAlign w:val="superscript"/>
    </w:rPr>
  </w:style>
  <w:style w:type="paragraph" w:styleId="176">
    <w:name w:val="toc 1"/>
    <w:basedOn w:val="390"/>
    <w:next w:val="390"/>
    <w:uiPriority w:val="39"/>
    <w:unhideWhenUsed/>
    <w:pPr>
      <w:ind w:left="0" w:right="0" w:firstLine="0"/>
      <w:spacing w:after="57"/>
    </w:pPr>
  </w:style>
  <w:style w:type="paragraph" w:styleId="177">
    <w:name w:val="toc 2"/>
    <w:basedOn w:val="390"/>
    <w:next w:val="390"/>
    <w:uiPriority w:val="39"/>
    <w:unhideWhenUsed/>
    <w:pPr>
      <w:ind w:left="283" w:right="0" w:firstLine="0"/>
      <w:spacing w:after="57"/>
    </w:pPr>
  </w:style>
  <w:style w:type="paragraph" w:styleId="178">
    <w:name w:val="toc 3"/>
    <w:basedOn w:val="390"/>
    <w:next w:val="390"/>
    <w:uiPriority w:val="39"/>
    <w:unhideWhenUsed/>
    <w:pPr>
      <w:ind w:left="567" w:right="0" w:firstLine="0"/>
      <w:spacing w:after="57"/>
    </w:pPr>
  </w:style>
  <w:style w:type="paragraph" w:styleId="179">
    <w:name w:val="toc 4"/>
    <w:basedOn w:val="390"/>
    <w:next w:val="390"/>
    <w:uiPriority w:val="39"/>
    <w:unhideWhenUsed/>
    <w:pPr>
      <w:ind w:left="850" w:right="0" w:firstLine="0"/>
      <w:spacing w:after="57"/>
    </w:pPr>
  </w:style>
  <w:style w:type="paragraph" w:styleId="180">
    <w:name w:val="toc 5"/>
    <w:basedOn w:val="390"/>
    <w:next w:val="390"/>
    <w:uiPriority w:val="39"/>
    <w:unhideWhenUsed/>
    <w:pPr>
      <w:ind w:left="1134" w:right="0" w:firstLine="0"/>
      <w:spacing w:after="57"/>
    </w:pPr>
  </w:style>
  <w:style w:type="paragraph" w:styleId="181">
    <w:name w:val="toc 6"/>
    <w:basedOn w:val="390"/>
    <w:next w:val="390"/>
    <w:uiPriority w:val="39"/>
    <w:unhideWhenUsed/>
    <w:pPr>
      <w:ind w:left="1417" w:right="0" w:firstLine="0"/>
      <w:spacing w:after="57"/>
    </w:pPr>
  </w:style>
  <w:style w:type="paragraph" w:styleId="182">
    <w:name w:val="toc 7"/>
    <w:basedOn w:val="390"/>
    <w:next w:val="390"/>
    <w:uiPriority w:val="39"/>
    <w:unhideWhenUsed/>
    <w:pPr>
      <w:ind w:left="1701" w:right="0" w:firstLine="0"/>
      <w:spacing w:after="57"/>
    </w:pPr>
  </w:style>
  <w:style w:type="paragraph" w:styleId="183">
    <w:name w:val="toc 8"/>
    <w:basedOn w:val="390"/>
    <w:next w:val="390"/>
    <w:uiPriority w:val="39"/>
    <w:unhideWhenUsed/>
    <w:pPr>
      <w:ind w:left="1984" w:right="0" w:firstLine="0"/>
      <w:spacing w:after="57"/>
    </w:pPr>
  </w:style>
  <w:style w:type="paragraph" w:styleId="184">
    <w:name w:val="toc 9"/>
    <w:basedOn w:val="390"/>
    <w:next w:val="390"/>
    <w:uiPriority w:val="39"/>
    <w:unhideWhenUsed/>
    <w:pPr>
      <w:ind w:left="2268" w:right="0" w:firstLine="0"/>
      <w:spacing w:after="57"/>
    </w:pPr>
  </w:style>
  <w:style w:type="paragraph" w:styleId="185">
    <w:name w:val="TOC Heading"/>
    <w:uiPriority w:val="39"/>
    <w:unhideWhenUsed/>
  </w:style>
  <w:style w:type="paragraph" w:styleId="390" w:default="1">
    <w:name w:val="Normal"/>
    <w:qFormat/>
  </w:style>
  <w:style w:type="character" w:styleId="391" w:default="1">
    <w:name w:val="Default Paragraph Font"/>
    <w:uiPriority w:val="1"/>
    <w:semiHidden/>
    <w:unhideWhenUsed/>
  </w:style>
  <w:style w:type="table" w:styleId="3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93" w:default="1">
    <w:name w:val="No List"/>
    <w:uiPriority w:val="99"/>
    <w:semiHidden/>
    <w:unhideWhenUsed/>
  </w:style>
  <w:style w:type="paragraph" w:styleId="394">
    <w:name w:val="Header"/>
    <w:basedOn w:val="390"/>
    <w:link w:val="395"/>
    <w:uiPriority w:val="99"/>
    <w:unhideWhenUsed/>
    <w:pPr>
      <w:spacing w:lineRule="auto" w:line="240" w:after="0"/>
      <w:tabs>
        <w:tab w:val="center" w:pos="4513" w:leader="none"/>
        <w:tab w:val="right" w:pos="9026" w:leader="none"/>
      </w:tabs>
    </w:pPr>
  </w:style>
  <w:style w:type="character" w:styleId="395" w:customStyle="1">
    <w:name w:val="Header Char"/>
    <w:basedOn w:val="391"/>
    <w:link w:val="394"/>
    <w:uiPriority w:val="99"/>
  </w:style>
  <w:style w:type="paragraph" w:styleId="396">
    <w:name w:val="Footer"/>
    <w:basedOn w:val="390"/>
    <w:link w:val="397"/>
    <w:uiPriority w:val="99"/>
    <w:unhideWhenUsed/>
    <w:pPr>
      <w:spacing w:lineRule="auto" w:line="240" w:after="0"/>
      <w:tabs>
        <w:tab w:val="center" w:pos="4513" w:leader="none"/>
        <w:tab w:val="right" w:pos="9026" w:leader="none"/>
      </w:tabs>
    </w:pPr>
  </w:style>
  <w:style w:type="character" w:styleId="397" w:customStyle="1">
    <w:name w:val="Footer Char"/>
    <w:basedOn w:val="391"/>
    <w:link w:val="39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header" Target="header3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footer" Target="footer3.xml" /><Relationship Id="rId13" Type="http://schemas.openxmlformats.org/officeDocument/2006/relationships/image" Target="media/image2.pn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ONLYOFFICE/5.6.0.0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Sagar Sangale</dc:creator>
  <cp:keywords/>
  <dc:description/>
  <cp:revision>2</cp:revision>
  <dcterms:created xsi:type="dcterms:W3CDTF">2023-12-21T11:18:00Z</dcterms:created>
  <dcterms:modified xsi:type="dcterms:W3CDTF">2023-12-21T12:29:28Z</dcterms:modified>
</cp:coreProperties>
</file>