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498" w:rsidRDefault="001E6498" w:rsidP="00D620BD">
      <w:pPr>
        <w:spacing w:before="0" w:after="0" w:line="360" w:lineRule="auto"/>
        <w:jc w:val="both"/>
        <w:rPr>
          <w:rFonts w:ascii="Cambria" w:hAnsi="Cambria"/>
          <w:sz w:val="24"/>
          <w:szCs w:val="24"/>
        </w:rPr>
      </w:pPr>
      <w:bookmarkStart w:id="0" w:name="_GoBack"/>
      <w:bookmarkEnd w:id="0"/>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Pr="00954A3A" w:rsidRDefault="00954A3A" w:rsidP="00954A3A">
      <w:pPr>
        <w:autoSpaceDE w:val="0"/>
        <w:autoSpaceDN w:val="0"/>
        <w:adjustRightInd w:val="0"/>
        <w:spacing w:before="0" w:after="0" w:line="240" w:lineRule="auto"/>
        <w:jc w:val="center"/>
        <w:rPr>
          <w:rFonts w:ascii="Cambria" w:hAnsi="Cambria" w:cs="Cambria"/>
          <w:sz w:val="56"/>
          <w:szCs w:val="56"/>
          <w:lang w:val="en-IN"/>
        </w:rPr>
      </w:pPr>
      <w:r w:rsidRPr="00954A3A">
        <w:rPr>
          <w:rFonts w:ascii="Cambria" w:hAnsi="Cambria" w:cs="Cambria"/>
          <w:sz w:val="56"/>
          <w:szCs w:val="56"/>
          <w:lang w:val="en-IN"/>
        </w:rPr>
        <w:t>Master Circular 2016</w:t>
      </w:r>
    </w:p>
    <w:p w:rsidR="00954A3A" w:rsidRPr="00954A3A" w:rsidRDefault="00954A3A" w:rsidP="00954A3A">
      <w:pPr>
        <w:spacing w:before="0" w:after="0" w:line="360" w:lineRule="auto"/>
        <w:jc w:val="center"/>
        <w:rPr>
          <w:rFonts w:ascii="Cambria" w:hAnsi="Cambria"/>
          <w:sz w:val="56"/>
          <w:szCs w:val="56"/>
        </w:rPr>
      </w:pPr>
      <w:r w:rsidRPr="00954A3A">
        <w:rPr>
          <w:rFonts w:ascii="Cambria" w:hAnsi="Cambria" w:cs="Cambria"/>
          <w:sz w:val="56"/>
          <w:szCs w:val="56"/>
          <w:lang w:val="en-IN"/>
        </w:rPr>
        <w:t>Finance and Accounts Department</w:t>
      </w: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Default="00954A3A" w:rsidP="00D620BD">
      <w:pPr>
        <w:spacing w:before="0" w:after="0" w:line="360" w:lineRule="auto"/>
        <w:jc w:val="both"/>
        <w:rPr>
          <w:rFonts w:ascii="Cambria" w:hAnsi="Cambria"/>
          <w:sz w:val="24"/>
          <w:szCs w:val="24"/>
        </w:rPr>
      </w:pPr>
    </w:p>
    <w:p w:rsidR="00954A3A" w:rsidRPr="00D620BD" w:rsidRDefault="00954A3A" w:rsidP="00D620BD">
      <w:pPr>
        <w:spacing w:before="0" w:after="0" w:line="360" w:lineRule="auto"/>
        <w:jc w:val="both"/>
        <w:rPr>
          <w:rFonts w:ascii="Cambria" w:hAnsi="Cambria"/>
          <w:sz w:val="24"/>
          <w:szCs w:val="24"/>
        </w:rPr>
      </w:pPr>
    </w:p>
    <w:p w:rsidR="001E6498" w:rsidRPr="00D620BD" w:rsidRDefault="001E6498" w:rsidP="00D620BD">
      <w:pPr>
        <w:spacing w:before="0" w:after="0" w:line="360" w:lineRule="auto"/>
        <w:jc w:val="both"/>
        <w:rPr>
          <w:rFonts w:ascii="Cambria" w:hAnsi="Cambria"/>
          <w:sz w:val="24"/>
          <w:szCs w:val="24"/>
        </w:rPr>
      </w:pPr>
    </w:p>
    <w:p w:rsidR="001E6498" w:rsidRPr="00D620BD" w:rsidRDefault="001E6498" w:rsidP="00D620BD">
      <w:pPr>
        <w:spacing w:before="0" w:after="0" w:line="360" w:lineRule="auto"/>
        <w:jc w:val="both"/>
        <w:rPr>
          <w:rFonts w:ascii="Cambria" w:hAnsi="Cambria"/>
          <w:sz w:val="24"/>
          <w:szCs w:val="24"/>
        </w:rPr>
      </w:pPr>
    </w:p>
    <w:p w:rsidR="001E6498" w:rsidRPr="00D620BD" w:rsidRDefault="001E6498" w:rsidP="00D620BD">
      <w:pPr>
        <w:spacing w:before="0" w:after="0" w:line="360" w:lineRule="auto"/>
        <w:jc w:val="both"/>
        <w:rPr>
          <w:rFonts w:ascii="Cambria" w:hAnsi="Cambria"/>
          <w:sz w:val="24"/>
          <w:szCs w:val="24"/>
        </w:rPr>
      </w:pPr>
    </w:p>
    <w:p w:rsidR="001E6498" w:rsidRPr="00D620BD" w:rsidRDefault="001E6498" w:rsidP="00D620BD">
      <w:pPr>
        <w:spacing w:before="0" w:after="0" w:line="360" w:lineRule="auto"/>
        <w:jc w:val="both"/>
        <w:rPr>
          <w:rFonts w:ascii="Cambria" w:hAnsi="Cambria"/>
          <w:sz w:val="24"/>
          <w:szCs w:val="24"/>
        </w:rPr>
      </w:pPr>
    </w:p>
    <w:p w:rsidR="005628BE" w:rsidRDefault="005628BE">
      <w:pPr>
        <w:rPr>
          <w:rFonts w:ascii="Cambria" w:hAnsi="Cambria"/>
          <w:sz w:val="24"/>
          <w:szCs w:val="24"/>
        </w:rPr>
      </w:pPr>
    </w:p>
    <w:p w:rsidR="00E27154" w:rsidRDefault="00E27154" w:rsidP="00D620BD">
      <w:pPr>
        <w:spacing w:before="0" w:after="0" w:line="360" w:lineRule="auto"/>
        <w:jc w:val="both"/>
        <w:rPr>
          <w:rFonts w:ascii="Cambria" w:hAnsi="Cambria"/>
          <w:sz w:val="24"/>
          <w:szCs w:val="24"/>
        </w:rPr>
      </w:pPr>
    </w:p>
    <w:p w:rsidR="00801BA7" w:rsidRDefault="00801BA7" w:rsidP="00D620BD">
      <w:pPr>
        <w:spacing w:before="0" w:after="0" w:line="360" w:lineRule="auto"/>
        <w:jc w:val="both"/>
        <w:rPr>
          <w:rFonts w:ascii="Cambria" w:hAnsi="Cambria"/>
          <w:sz w:val="24"/>
          <w:szCs w:val="24"/>
        </w:rPr>
      </w:pPr>
    </w:p>
    <w:p w:rsidR="00801BA7" w:rsidRDefault="00801BA7" w:rsidP="00D620BD">
      <w:pPr>
        <w:spacing w:before="0" w:after="0" w:line="360" w:lineRule="auto"/>
        <w:jc w:val="both"/>
        <w:rPr>
          <w:rFonts w:ascii="Cambria" w:hAnsi="Cambria"/>
          <w:sz w:val="24"/>
          <w:szCs w:val="24"/>
        </w:rPr>
      </w:pPr>
    </w:p>
    <w:p w:rsidR="00801BA7" w:rsidRDefault="00801BA7" w:rsidP="00D620BD">
      <w:pPr>
        <w:spacing w:before="0" w:after="0" w:line="360" w:lineRule="auto"/>
        <w:jc w:val="both"/>
        <w:rPr>
          <w:rFonts w:ascii="Cambria" w:hAnsi="Cambria"/>
          <w:sz w:val="24"/>
          <w:szCs w:val="24"/>
        </w:rPr>
      </w:pPr>
    </w:p>
    <w:p w:rsidR="00801BA7" w:rsidRDefault="00801BA7" w:rsidP="00D620BD">
      <w:pPr>
        <w:spacing w:before="0" w:after="0" w:line="360" w:lineRule="auto"/>
        <w:jc w:val="both"/>
        <w:rPr>
          <w:rFonts w:ascii="Cambria" w:hAnsi="Cambria"/>
          <w:sz w:val="24"/>
          <w:szCs w:val="24"/>
        </w:rPr>
      </w:pPr>
    </w:p>
    <w:p w:rsidR="00801BA7" w:rsidRDefault="00801BA7" w:rsidP="00D620BD">
      <w:pPr>
        <w:spacing w:before="0" w:after="0" w:line="360" w:lineRule="auto"/>
        <w:jc w:val="both"/>
        <w:rPr>
          <w:rFonts w:ascii="Cambria" w:hAnsi="Cambria"/>
          <w:sz w:val="24"/>
          <w:szCs w:val="24"/>
        </w:rPr>
      </w:pPr>
    </w:p>
    <w:p w:rsidR="00801BA7" w:rsidRDefault="00801BA7" w:rsidP="00D620BD">
      <w:pPr>
        <w:spacing w:before="0" w:after="0" w:line="360" w:lineRule="auto"/>
        <w:jc w:val="both"/>
        <w:rPr>
          <w:rFonts w:ascii="Cambria" w:hAnsi="Cambria"/>
          <w:sz w:val="24"/>
          <w:szCs w:val="24"/>
        </w:rPr>
      </w:pPr>
    </w:p>
    <w:p w:rsidR="00801BA7" w:rsidRPr="00D620BD" w:rsidRDefault="00801BA7" w:rsidP="00D620BD">
      <w:pPr>
        <w:spacing w:before="0" w:after="0" w:line="360" w:lineRule="auto"/>
        <w:jc w:val="both"/>
        <w:rPr>
          <w:rFonts w:ascii="Cambria" w:hAnsi="Cambria"/>
          <w:sz w:val="24"/>
          <w:szCs w:val="24"/>
        </w:rPr>
      </w:pPr>
    </w:p>
    <w:sdt>
      <w:sdtPr>
        <w:rPr>
          <w:rFonts w:ascii="Cambria" w:hAnsi="Cambria"/>
          <w:caps w:val="0"/>
          <w:color w:val="auto"/>
          <w:spacing w:val="0"/>
          <w:sz w:val="24"/>
          <w:szCs w:val="24"/>
        </w:rPr>
        <w:id w:val="-333221273"/>
        <w:docPartObj>
          <w:docPartGallery w:val="Table of Contents"/>
          <w:docPartUnique/>
        </w:docPartObj>
      </w:sdtPr>
      <w:sdtEndPr>
        <w:rPr>
          <w:b/>
          <w:bCs/>
          <w:noProof/>
        </w:rPr>
      </w:sdtEndPr>
      <w:sdtContent>
        <w:p w:rsidR="00C85990" w:rsidRPr="00D620BD" w:rsidRDefault="00C85990" w:rsidP="00D620BD">
          <w:pPr>
            <w:pStyle w:val="TOCHeading"/>
            <w:spacing w:before="0" w:line="360" w:lineRule="auto"/>
            <w:jc w:val="both"/>
            <w:rPr>
              <w:rFonts w:ascii="Cambria" w:hAnsi="Cambria"/>
              <w:sz w:val="24"/>
              <w:szCs w:val="24"/>
            </w:rPr>
          </w:pPr>
          <w:r w:rsidRPr="00D620BD">
            <w:rPr>
              <w:rFonts w:ascii="Cambria" w:hAnsi="Cambria"/>
              <w:sz w:val="24"/>
              <w:szCs w:val="24"/>
            </w:rPr>
            <w:t>Contents</w:t>
          </w:r>
        </w:p>
        <w:p w:rsidR="00C36066" w:rsidRDefault="00355B5F">
          <w:pPr>
            <w:pStyle w:val="TOC1"/>
            <w:rPr>
              <w:rFonts w:asciiTheme="minorHAnsi" w:hAnsiTheme="minorHAnsi"/>
              <w:noProof/>
              <w:sz w:val="22"/>
              <w:szCs w:val="22"/>
              <w:lang w:val="en-IN" w:eastAsia="en-IN"/>
            </w:rPr>
          </w:pPr>
          <w:r>
            <w:rPr>
              <w:szCs w:val="24"/>
            </w:rPr>
            <w:fldChar w:fldCharType="begin"/>
          </w:r>
          <w:r>
            <w:rPr>
              <w:szCs w:val="24"/>
            </w:rPr>
            <w:instrText xml:space="preserve"> TOC \o "1-3" \h \z \u </w:instrText>
          </w:r>
          <w:r>
            <w:rPr>
              <w:szCs w:val="24"/>
            </w:rPr>
            <w:fldChar w:fldCharType="separate"/>
          </w:r>
          <w:hyperlink w:anchor="_Toc445914000" w:history="1">
            <w:r w:rsidR="00C36066" w:rsidRPr="00214112">
              <w:rPr>
                <w:rStyle w:val="Hyperlink"/>
                <w:rFonts w:ascii="Cambria" w:hAnsi="Cambria"/>
                <w:b/>
                <w:noProof/>
              </w:rPr>
              <w:t>I.</w:t>
            </w:r>
            <w:r w:rsidR="00C36066">
              <w:rPr>
                <w:rFonts w:asciiTheme="minorHAnsi" w:hAnsiTheme="minorHAnsi"/>
                <w:noProof/>
                <w:sz w:val="22"/>
                <w:szCs w:val="22"/>
                <w:lang w:val="en-IN" w:eastAsia="en-IN"/>
              </w:rPr>
              <w:tab/>
            </w:r>
            <w:r w:rsidR="00C36066" w:rsidRPr="00214112">
              <w:rPr>
                <w:rStyle w:val="Hyperlink"/>
                <w:rFonts w:ascii="Cambria" w:hAnsi="Cambria"/>
                <w:b/>
                <w:noProof/>
              </w:rPr>
              <w:t>Master Circular on Valuation of Unlisted (Unquoted) Securities for Computation of Networth</w:t>
            </w:r>
            <w:r w:rsidR="00C36066">
              <w:rPr>
                <w:noProof/>
                <w:webHidden/>
              </w:rPr>
              <w:tab/>
            </w:r>
            <w:r w:rsidR="00C36066">
              <w:rPr>
                <w:noProof/>
                <w:webHidden/>
              </w:rPr>
              <w:fldChar w:fldCharType="begin"/>
            </w:r>
            <w:r w:rsidR="00C36066">
              <w:rPr>
                <w:noProof/>
                <w:webHidden/>
              </w:rPr>
              <w:instrText xml:space="preserve"> PAGEREF _Toc445914000 \h </w:instrText>
            </w:r>
            <w:r w:rsidR="00C36066">
              <w:rPr>
                <w:noProof/>
                <w:webHidden/>
              </w:rPr>
            </w:r>
            <w:r w:rsidR="00C36066">
              <w:rPr>
                <w:noProof/>
                <w:webHidden/>
              </w:rPr>
              <w:fldChar w:fldCharType="separate"/>
            </w:r>
            <w:r w:rsidR="00D5720E">
              <w:rPr>
                <w:noProof/>
                <w:webHidden/>
              </w:rPr>
              <w:t>3</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01" w:history="1">
            <w:r w:rsidR="00C36066" w:rsidRPr="00214112">
              <w:rPr>
                <w:rStyle w:val="Hyperlink"/>
                <w:noProof/>
              </w:rPr>
              <w:t>1.</w:t>
            </w:r>
            <w:r w:rsidR="00C36066">
              <w:rPr>
                <w:rFonts w:asciiTheme="minorHAnsi" w:hAnsiTheme="minorHAnsi" w:cstheme="minorBidi"/>
                <w:noProof/>
                <w:lang w:val="en-IN" w:eastAsia="en-IN"/>
              </w:rPr>
              <w:tab/>
            </w:r>
            <w:r w:rsidR="00C36066" w:rsidRPr="00214112">
              <w:rPr>
                <w:rStyle w:val="Hyperlink"/>
                <w:noProof/>
              </w:rPr>
              <w:t>Valuation of Unlisted (Unquoted) securities</w:t>
            </w:r>
            <w:r w:rsidR="00C36066">
              <w:rPr>
                <w:noProof/>
                <w:webHidden/>
              </w:rPr>
              <w:tab/>
            </w:r>
            <w:r w:rsidR="00C36066">
              <w:rPr>
                <w:noProof/>
                <w:webHidden/>
              </w:rPr>
              <w:fldChar w:fldCharType="begin"/>
            </w:r>
            <w:r w:rsidR="00C36066">
              <w:rPr>
                <w:noProof/>
                <w:webHidden/>
              </w:rPr>
              <w:instrText xml:space="preserve"> PAGEREF _Toc445914001 \h </w:instrText>
            </w:r>
            <w:r w:rsidR="00C36066">
              <w:rPr>
                <w:noProof/>
                <w:webHidden/>
              </w:rPr>
            </w:r>
            <w:r w:rsidR="00C36066">
              <w:rPr>
                <w:noProof/>
                <w:webHidden/>
              </w:rPr>
              <w:fldChar w:fldCharType="separate"/>
            </w:r>
            <w:r w:rsidR="00D5720E">
              <w:rPr>
                <w:noProof/>
                <w:webHidden/>
              </w:rPr>
              <w:t>3</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02" w:history="1">
            <w:r w:rsidR="00C36066" w:rsidRPr="00214112">
              <w:rPr>
                <w:rStyle w:val="Hyperlink"/>
                <w:noProof/>
              </w:rPr>
              <w:t>2.</w:t>
            </w:r>
            <w:r w:rsidR="00C36066">
              <w:rPr>
                <w:rFonts w:asciiTheme="minorHAnsi" w:hAnsiTheme="minorHAnsi" w:cstheme="minorBidi"/>
                <w:noProof/>
                <w:lang w:val="en-IN" w:eastAsia="en-IN"/>
              </w:rPr>
              <w:tab/>
            </w:r>
            <w:r w:rsidR="00C36066" w:rsidRPr="00214112">
              <w:rPr>
                <w:rStyle w:val="Hyperlink"/>
                <w:noProof/>
              </w:rPr>
              <w:t>Valuation of shares of BSE Ltd. for purpose of computation of Networth</w:t>
            </w:r>
            <w:r w:rsidR="00C36066">
              <w:rPr>
                <w:noProof/>
                <w:webHidden/>
              </w:rPr>
              <w:tab/>
            </w:r>
            <w:r w:rsidR="00C36066">
              <w:rPr>
                <w:noProof/>
                <w:webHidden/>
              </w:rPr>
              <w:fldChar w:fldCharType="begin"/>
            </w:r>
            <w:r w:rsidR="00C36066">
              <w:rPr>
                <w:noProof/>
                <w:webHidden/>
              </w:rPr>
              <w:instrText xml:space="preserve"> PAGEREF _Toc445914002 \h </w:instrText>
            </w:r>
            <w:r w:rsidR="00C36066">
              <w:rPr>
                <w:noProof/>
                <w:webHidden/>
              </w:rPr>
            </w:r>
            <w:r w:rsidR="00C36066">
              <w:rPr>
                <w:noProof/>
                <w:webHidden/>
              </w:rPr>
              <w:fldChar w:fldCharType="separate"/>
            </w:r>
            <w:r w:rsidR="00D5720E">
              <w:rPr>
                <w:noProof/>
                <w:webHidden/>
              </w:rPr>
              <w:t>4</w:t>
            </w:r>
            <w:r w:rsidR="00C36066">
              <w:rPr>
                <w:noProof/>
                <w:webHidden/>
              </w:rPr>
              <w:fldChar w:fldCharType="end"/>
            </w:r>
          </w:hyperlink>
        </w:p>
        <w:p w:rsidR="00C36066" w:rsidRDefault="0023589B">
          <w:pPr>
            <w:pStyle w:val="TOC1"/>
            <w:rPr>
              <w:rFonts w:asciiTheme="minorHAnsi" w:hAnsiTheme="minorHAnsi"/>
              <w:noProof/>
              <w:sz w:val="22"/>
              <w:szCs w:val="22"/>
              <w:lang w:val="en-IN" w:eastAsia="en-IN"/>
            </w:rPr>
          </w:pPr>
          <w:hyperlink w:anchor="_Toc445914003" w:history="1">
            <w:r w:rsidR="00C36066" w:rsidRPr="00214112">
              <w:rPr>
                <w:rStyle w:val="Hyperlink"/>
                <w:rFonts w:ascii="Cambria" w:hAnsi="Cambria"/>
                <w:b/>
                <w:noProof/>
              </w:rPr>
              <w:t>II.</w:t>
            </w:r>
            <w:r w:rsidR="00C36066">
              <w:rPr>
                <w:rFonts w:asciiTheme="minorHAnsi" w:hAnsiTheme="minorHAnsi"/>
                <w:noProof/>
                <w:sz w:val="22"/>
                <w:szCs w:val="22"/>
                <w:lang w:val="en-IN" w:eastAsia="en-IN"/>
              </w:rPr>
              <w:tab/>
            </w:r>
            <w:r w:rsidR="00C36066" w:rsidRPr="00214112">
              <w:rPr>
                <w:rStyle w:val="Hyperlink"/>
                <w:rFonts w:ascii="Cambria" w:hAnsi="Cambria"/>
                <w:b/>
                <w:noProof/>
              </w:rPr>
              <w:t>Master Circular on Direct Tax Matters</w:t>
            </w:r>
            <w:r w:rsidR="00C36066">
              <w:rPr>
                <w:noProof/>
                <w:webHidden/>
              </w:rPr>
              <w:tab/>
            </w:r>
            <w:r w:rsidR="00C36066">
              <w:rPr>
                <w:noProof/>
                <w:webHidden/>
              </w:rPr>
              <w:fldChar w:fldCharType="begin"/>
            </w:r>
            <w:r w:rsidR="00C36066">
              <w:rPr>
                <w:noProof/>
                <w:webHidden/>
              </w:rPr>
              <w:instrText xml:space="preserve"> PAGEREF _Toc445914003 \h </w:instrText>
            </w:r>
            <w:r w:rsidR="00C36066">
              <w:rPr>
                <w:noProof/>
                <w:webHidden/>
              </w:rPr>
            </w:r>
            <w:r w:rsidR="00C36066">
              <w:rPr>
                <w:noProof/>
                <w:webHidden/>
              </w:rPr>
              <w:fldChar w:fldCharType="separate"/>
            </w:r>
            <w:r w:rsidR="00D5720E">
              <w:rPr>
                <w:noProof/>
                <w:webHidden/>
              </w:rPr>
              <w:t>5</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04" w:history="1">
            <w:r w:rsidR="00C36066" w:rsidRPr="00214112">
              <w:rPr>
                <w:rStyle w:val="Hyperlink"/>
                <w:noProof/>
              </w:rPr>
              <w:t>1.</w:t>
            </w:r>
            <w:r w:rsidR="00C36066">
              <w:rPr>
                <w:rFonts w:asciiTheme="minorHAnsi" w:hAnsiTheme="minorHAnsi" w:cstheme="minorBidi"/>
                <w:noProof/>
                <w:lang w:val="en-IN" w:eastAsia="en-IN"/>
              </w:rPr>
              <w:tab/>
            </w:r>
            <w:r w:rsidR="00C36066" w:rsidRPr="00214112">
              <w:rPr>
                <w:rStyle w:val="Hyperlink"/>
                <w:noProof/>
              </w:rPr>
              <w:t>Non deduction of TDS on Service Tax element of Bills</w:t>
            </w:r>
            <w:r w:rsidR="00C36066">
              <w:rPr>
                <w:noProof/>
                <w:webHidden/>
              </w:rPr>
              <w:tab/>
            </w:r>
            <w:r w:rsidR="00C36066">
              <w:rPr>
                <w:noProof/>
                <w:webHidden/>
              </w:rPr>
              <w:fldChar w:fldCharType="begin"/>
            </w:r>
            <w:r w:rsidR="00C36066">
              <w:rPr>
                <w:noProof/>
                <w:webHidden/>
              </w:rPr>
              <w:instrText xml:space="preserve"> PAGEREF _Toc445914004 \h </w:instrText>
            </w:r>
            <w:r w:rsidR="00C36066">
              <w:rPr>
                <w:noProof/>
                <w:webHidden/>
              </w:rPr>
            </w:r>
            <w:r w:rsidR="00C36066">
              <w:rPr>
                <w:noProof/>
                <w:webHidden/>
              </w:rPr>
              <w:fldChar w:fldCharType="separate"/>
            </w:r>
            <w:r w:rsidR="00D5720E">
              <w:rPr>
                <w:noProof/>
                <w:webHidden/>
              </w:rPr>
              <w:t>5</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05" w:history="1">
            <w:r w:rsidR="00C36066" w:rsidRPr="00214112">
              <w:rPr>
                <w:rStyle w:val="Hyperlink"/>
                <w:noProof/>
              </w:rPr>
              <w:t>2.</w:t>
            </w:r>
            <w:r w:rsidR="00C36066">
              <w:rPr>
                <w:rFonts w:asciiTheme="minorHAnsi" w:hAnsiTheme="minorHAnsi" w:cstheme="minorBidi"/>
                <w:noProof/>
                <w:lang w:val="en-IN" w:eastAsia="en-IN"/>
              </w:rPr>
              <w:tab/>
            </w:r>
            <w:r w:rsidR="00C36066" w:rsidRPr="00214112">
              <w:rPr>
                <w:rStyle w:val="Hyperlink"/>
                <w:noProof/>
              </w:rPr>
              <w:t>Amendment of Income Tax Rule 6DDA with respect to transactions on Stock Exchange</w:t>
            </w:r>
            <w:r w:rsidR="00C36066">
              <w:rPr>
                <w:noProof/>
                <w:webHidden/>
              </w:rPr>
              <w:tab/>
            </w:r>
            <w:r w:rsidR="00C36066">
              <w:rPr>
                <w:noProof/>
                <w:webHidden/>
              </w:rPr>
              <w:fldChar w:fldCharType="begin"/>
            </w:r>
            <w:r w:rsidR="00C36066">
              <w:rPr>
                <w:noProof/>
                <w:webHidden/>
              </w:rPr>
              <w:instrText xml:space="preserve"> PAGEREF _Toc445914005 \h </w:instrText>
            </w:r>
            <w:r w:rsidR="00C36066">
              <w:rPr>
                <w:noProof/>
                <w:webHidden/>
              </w:rPr>
            </w:r>
            <w:r w:rsidR="00C36066">
              <w:rPr>
                <w:noProof/>
                <w:webHidden/>
              </w:rPr>
              <w:fldChar w:fldCharType="separate"/>
            </w:r>
            <w:r w:rsidR="00D5720E">
              <w:rPr>
                <w:noProof/>
                <w:webHidden/>
              </w:rPr>
              <w:t>5</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06" w:history="1">
            <w:r w:rsidR="00C36066" w:rsidRPr="00214112">
              <w:rPr>
                <w:rStyle w:val="Hyperlink"/>
                <w:noProof/>
              </w:rPr>
              <w:t>3.</w:t>
            </w:r>
            <w:r w:rsidR="00C36066">
              <w:rPr>
                <w:rFonts w:asciiTheme="minorHAnsi" w:hAnsiTheme="minorHAnsi" w:cstheme="minorBidi"/>
                <w:noProof/>
                <w:lang w:val="en-IN" w:eastAsia="en-IN"/>
              </w:rPr>
              <w:tab/>
            </w:r>
            <w:r w:rsidR="00C36066" w:rsidRPr="00214112">
              <w:rPr>
                <w:rStyle w:val="Hyperlink"/>
                <w:noProof/>
              </w:rPr>
              <w:t>Notification of BSE as a recognized Stock Exchange under clause (d) of the proviso to clause (5) of Section 43 of the Income Tax</w:t>
            </w:r>
            <w:r w:rsidR="00C36066">
              <w:rPr>
                <w:noProof/>
                <w:webHidden/>
              </w:rPr>
              <w:tab/>
            </w:r>
            <w:r w:rsidR="00C36066">
              <w:rPr>
                <w:noProof/>
                <w:webHidden/>
              </w:rPr>
              <w:fldChar w:fldCharType="begin"/>
            </w:r>
            <w:r w:rsidR="00C36066">
              <w:rPr>
                <w:noProof/>
                <w:webHidden/>
              </w:rPr>
              <w:instrText xml:space="preserve"> PAGEREF _Toc445914006 \h </w:instrText>
            </w:r>
            <w:r w:rsidR="00C36066">
              <w:rPr>
                <w:noProof/>
                <w:webHidden/>
              </w:rPr>
            </w:r>
            <w:r w:rsidR="00C36066">
              <w:rPr>
                <w:noProof/>
                <w:webHidden/>
              </w:rPr>
              <w:fldChar w:fldCharType="separate"/>
            </w:r>
            <w:r w:rsidR="00D5720E">
              <w:rPr>
                <w:noProof/>
                <w:webHidden/>
              </w:rPr>
              <w:t>6</w:t>
            </w:r>
            <w:r w:rsidR="00C36066">
              <w:rPr>
                <w:noProof/>
                <w:webHidden/>
              </w:rPr>
              <w:fldChar w:fldCharType="end"/>
            </w:r>
          </w:hyperlink>
        </w:p>
        <w:p w:rsidR="00C36066" w:rsidRDefault="0023589B">
          <w:pPr>
            <w:pStyle w:val="TOC1"/>
            <w:rPr>
              <w:rFonts w:asciiTheme="minorHAnsi" w:hAnsiTheme="minorHAnsi"/>
              <w:noProof/>
              <w:sz w:val="22"/>
              <w:szCs w:val="22"/>
              <w:lang w:val="en-IN" w:eastAsia="en-IN"/>
            </w:rPr>
          </w:pPr>
          <w:hyperlink w:anchor="_Toc445914007" w:history="1">
            <w:r w:rsidR="00C36066" w:rsidRPr="00214112">
              <w:rPr>
                <w:rStyle w:val="Hyperlink"/>
                <w:rFonts w:ascii="Cambria" w:hAnsi="Cambria"/>
                <w:b/>
                <w:noProof/>
              </w:rPr>
              <w:t>III.</w:t>
            </w:r>
            <w:r w:rsidR="00C36066">
              <w:rPr>
                <w:rFonts w:asciiTheme="minorHAnsi" w:hAnsiTheme="minorHAnsi"/>
                <w:noProof/>
                <w:sz w:val="22"/>
                <w:szCs w:val="22"/>
                <w:lang w:val="en-IN" w:eastAsia="en-IN"/>
              </w:rPr>
              <w:tab/>
            </w:r>
            <w:r w:rsidR="00C36066" w:rsidRPr="00214112">
              <w:rPr>
                <w:rStyle w:val="Hyperlink"/>
                <w:rFonts w:ascii="Cambria" w:hAnsi="Cambria"/>
                <w:b/>
                <w:noProof/>
              </w:rPr>
              <w:t>Master Circular for Securities Transaction Tax</w:t>
            </w:r>
            <w:r w:rsidR="00C36066">
              <w:rPr>
                <w:noProof/>
                <w:webHidden/>
              </w:rPr>
              <w:tab/>
            </w:r>
            <w:r w:rsidR="00C36066">
              <w:rPr>
                <w:noProof/>
                <w:webHidden/>
              </w:rPr>
              <w:fldChar w:fldCharType="begin"/>
            </w:r>
            <w:r w:rsidR="00C36066">
              <w:rPr>
                <w:noProof/>
                <w:webHidden/>
              </w:rPr>
              <w:instrText xml:space="preserve"> PAGEREF _Toc445914007 \h </w:instrText>
            </w:r>
            <w:r w:rsidR="00C36066">
              <w:rPr>
                <w:noProof/>
                <w:webHidden/>
              </w:rPr>
            </w:r>
            <w:r w:rsidR="00C36066">
              <w:rPr>
                <w:noProof/>
                <w:webHidden/>
              </w:rPr>
              <w:fldChar w:fldCharType="separate"/>
            </w:r>
            <w:r w:rsidR="00D5720E">
              <w:rPr>
                <w:noProof/>
                <w:webHidden/>
              </w:rPr>
              <w:t>7</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08" w:history="1">
            <w:r w:rsidR="00C36066" w:rsidRPr="00214112">
              <w:rPr>
                <w:rStyle w:val="Hyperlink"/>
                <w:noProof/>
              </w:rPr>
              <w:t>1.</w:t>
            </w:r>
            <w:r w:rsidR="00C36066">
              <w:rPr>
                <w:rFonts w:asciiTheme="minorHAnsi" w:hAnsiTheme="minorHAnsi" w:cstheme="minorBidi"/>
                <w:noProof/>
                <w:lang w:val="en-IN" w:eastAsia="en-IN"/>
              </w:rPr>
              <w:tab/>
            </w:r>
            <w:r w:rsidR="00C36066" w:rsidRPr="00214112">
              <w:rPr>
                <w:rStyle w:val="Hyperlink"/>
                <w:noProof/>
              </w:rPr>
              <w:t>Securities Transaction Tax (STT) Rates</w:t>
            </w:r>
            <w:r w:rsidR="00C36066">
              <w:rPr>
                <w:noProof/>
                <w:webHidden/>
              </w:rPr>
              <w:tab/>
            </w:r>
            <w:r w:rsidR="00C36066">
              <w:rPr>
                <w:noProof/>
                <w:webHidden/>
              </w:rPr>
              <w:fldChar w:fldCharType="begin"/>
            </w:r>
            <w:r w:rsidR="00C36066">
              <w:rPr>
                <w:noProof/>
                <w:webHidden/>
              </w:rPr>
              <w:instrText xml:space="preserve"> PAGEREF _Toc445914008 \h </w:instrText>
            </w:r>
            <w:r w:rsidR="00C36066">
              <w:rPr>
                <w:noProof/>
                <w:webHidden/>
              </w:rPr>
            </w:r>
            <w:r w:rsidR="00C36066">
              <w:rPr>
                <w:noProof/>
                <w:webHidden/>
              </w:rPr>
              <w:fldChar w:fldCharType="separate"/>
            </w:r>
            <w:r w:rsidR="00D5720E">
              <w:rPr>
                <w:noProof/>
                <w:webHidden/>
              </w:rPr>
              <w:t>7</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09" w:history="1">
            <w:r w:rsidR="00C36066" w:rsidRPr="00214112">
              <w:rPr>
                <w:rStyle w:val="Hyperlink"/>
                <w:noProof/>
              </w:rPr>
              <w:t>2.</w:t>
            </w:r>
            <w:r w:rsidR="00C36066">
              <w:rPr>
                <w:rFonts w:asciiTheme="minorHAnsi" w:hAnsiTheme="minorHAnsi" w:cstheme="minorBidi"/>
                <w:noProof/>
                <w:lang w:val="en-IN" w:eastAsia="en-IN"/>
              </w:rPr>
              <w:tab/>
            </w:r>
            <w:r w:rsidR="00C36066" w:rsidRPr="00214112">
              <w:rPr>
                <w:rStyle w:val="Hyperlink"/>
                <w:noProof/>
              </w:rPr>
              <w:t>STT on Institutional Transactions</w:t>
            </w:r>
            <w:r w:rsidR="00C36066">
              <w:rPr>
                <w:noProof/>
                <w:webHidden/>
              </w:rPr>
              <w:tab/>
            </w:r>
            <w:r w:rsidR="00C36066">
              <w:rPr>
                <w:noProof/>
                <w:webHidden/>
              </w:rPr>
              <w:fldChar w:fldCharType="begin"/>
            </w:r>
            <w:r w:rsidR="00C36066">
              <w:rPr>
                <w:noProof/>
                <w:webHidden/>
              </w:rPr>
              <w:instrText xml:space="preserve"> PAGEREF _Toc445914009 \h </w:instrText>
            </w:r>
            <w:r w:rsidR="00C36066">
              <w:rPr>
                <w:noProof/>
                <w:webHidden/>
              </w:rPr>
            </w:r>
            <w:r w:rsidR="00C36066">
              <w:rPr>
                <w:noProof/>
                <w:webHidden/>
              </w:rPr>
              <w:fldChar w:fldCharType="separate"/>
            </w:r>
            <w:r w:rsidR="00D5720E">
              <w:rPr>
                <w:noProof/>
                <w:webHidden/>
              </w:rPr>
              <w:t>8</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10" w:history="1">
            <w:r w:rsidR="00C36066" w:rsidRPr="00214112">
              <w:rPr>
                <w:rStyle w:val="Hyperlink"/>
                <w:noProof/>
              </w:rPr>
              <w:t>3.</w:t>
            </w:r>
            <w:r w:rsidR="00C36066">
              <w:rPr>
                <w:rFonts w:asciiTheme="minorHAnsi" w:hAnsiTheme="minorHAnsi" w:cstheme="minorBidi"/>
                <w:noProof/>
                <w:lang w:val="en-IN" w:eastAsia="en-IN"/>
              </w:rPr>
              <w:tab/>
            </w:r>
            <w:r w:rsidR="00C36066" w:rsidRPr="00214112">
              <w:rPr>
                <w:rStyle w:val="Hyperlink"/>
                <w:noProof/>
              </w:rPr>
              <w:t>Remittance of Excess STT collected by Members</w:t>
            </w:r>
            <w:r w:rsidR="00C36066">
              <w:rPr>
                <w:noProof/>
                <w:webHidden/>
              </w:rPr>
              <w:tab/>
            </w:r>
            <w:r w:rsidR="00C36066">
              <w:rPr>
                <w:noProof/>
                <w:webHidden/>
              </w:rPr>
              <w:fldChar w:fldCharType="begin"/>
            </w:r>
            <w:r w:rsidR="00C36066">
              <w:rPr>
                <w:noProof/>
                <w:webHidden/>
              </w:rPr>
              <w:instrText xml:space="preserve"> PAGEREF _Toc445914010 \h </w:instrText>
            </w:r>
            <w:r w:rsidR="00C36066">
              <w:rPr>
                <w:noProof/>
                <w:webHidden/>
              </w:rPr>
            </w:r>
            <w:r w:rsidR="00C36066">
              <w:rPr>
                <w:noProof/>
                <w:webHidden/>
              </w:rPr>
              <w:fldChar w:fldCharType="separate"/>
            </w:r>
            <w:r w:rsidR="00D5720E">
              <w:rPr>
                <w:noProof/>
                <w:webHidden/>
              </w:rPr>
              <w:t>8</w:t>
            </w:r>
            <w:r w:rsidR="00C36066">
              <w:rPr>
                <w:noProof/>
                <w:webHidden/>
              </w:rPr>
              <w:fldChar w:fldCharType="end"/>
            </w:r>
          </w:hyperlink>
        </w:p>
        <w:p w:rsidR="00C36066" w:rsidRDefault="0023589B">
          <w:pPr>
            <w:pStyle w:val="TOC1"/>
            <w:rPr>
              <w:rFonts w:asciiTheme="minorHAnsi" w:hAnsiTheme="minorHAnsi"/>
              <w:noProof/>
              <w:sz w:val="22"/>
              <w:szCs w:val="22"/>
              <w:lang w:val="en-IN" w:eastAsia="en-IN"/>
            </w:rPr>
          </w:pPr>
          <w:hyperlink w:anchor="_Toc445914011" w:history="1">
            <w:r w:rsidR="00C36066" w:rsidRPr="00214112">
              <w:rPr>
                <w:rStyle w:val="Hyperlink"/>
                <w:rFonts w:ascii="Cambria" w:hAnsi="Cambria"/>
                <w:b/>
                <w:noProof/>
              </w:rPr>
              <w:t>IV.</w:t>
            </w:r>
            <w:r w:rsidR="00C36066">
              <w:rPr>
                <w:rFonts w:asciiTheme="minorHAnsi" w:hAnsiTheme="minorHAnsi"/>
                <w:noProof/>
                <w:sz w:val="22"/>
                <w:szCs w:val="22"/>
                <w:lang w:val="en-IN" w:eastAsia="en-IN"/>
              </w:rPr>
              <w:tab/>
            </w:r>
            <w:r w:rsidR="00C36066" w:rsidRPr="00214112">
              <w:rPr>
                <w:rStyle w:val="Hyperlink"/>
                <w:rFonts w:ascii="Cambria" w:hAnsi="Cambria"/>
                <w:b/>
                <w:noProof/>
              </w:rPr>
              <w:t>Master Circular for Insurance</w:t>
            </w:r>
            <w:r w:rsidR="00C36066">
              <w:rPr>
                <w:noProof/>
                <w:webHidden/>
              </w:rPr>
              <w:tab/>
            </w:r>
            <w:r w:rsidR="00C36066">
              <w:rPr>
                <w:noProof/>
                <w:webHidden/>
              </w:rPr>
              <w:fldChar w:fldCharType="begin"/>
            </w:r>
            <w:r w:rsidR="00C36066">
              <w:rPr>
                <w:noProof/>
                <w:webHidden/>
              </w:rPr>
              <w:instrText xml:space="preserve"> PAGEREF _Toc445914011 \h </w:instrText>
            </w:r>
            <w:r w:rsidR="00C36066">
              <w:rPr>
                <w:noProof/>
                <w:webHidden/>
              </w:rPr>
            </w:r>
            <w:r w:rsidR="00C36066">
              <w:rPr>
                <w:noProof/>
                <w:webHidden/>
              </w:rPr>
              <w:fldChar w:fldCharType="separate"/>
            </w:r>
            <w:r w:rsidR="00D5720E">
              <w:rPr>
                <w:noProof/>
                <w:webHidden/>
              </w:rPr>
              <w:t>9</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12" w:history="1">
            <w:r w:rsidR="00C36066" w:rsidRPr="00214112">
              <w:rPr>
                <w:rStyle w:val="Hyperlink"/>
                <w:noProof/>
              </w:rPr>
              <w:t>1.</w:t>
            </w:r>
            <w:r w:rsidR="00C36066">
              <w:rPr>
                <w:rFonts w:asciiTheme="minorHAnsi" w:hAnsiTheme="minorHAnsi" w:cstheme="minorBidi"/>
                <w:noProof/>
                <w:lang w:val="en-IN" w:eastAsia="en-IN"/>
              </w:rPr>
              <w:tab/>
            </w:r>
            <w:r w:rsidR="00C36066" w:rsidRPr="00214112">
              <w:rPr>
                <w:rStyle w:val="Hyperlink"/>
                <w:noProof/>
              </w:rPr>
              <w:t>Submission of proof of renewal of Broker’s Indemnity Insurance Policy</w:t>
            </w:r>
            <w:r w:rsidR="00C36066">
              <w:rPr>
                <w:noProof/>
                <w:webHidden/>
              </w:rPr>
              <w:tab/>
            </w:r>
            <w:r w:rsidR="00C36066">
              <w:rPr>
                <w:noProof/>
                <w:webHidden/>
              </w:rPr>
              <w:fldChar w:fldCharType="begin"/>
            </w:r>
            <w:r w:rsidR="00C36066">
              <w:rPr>
                <w:noProof/>
                <w:webHidden/>
              </w:rPr>
              <w:instrText xml:space="preserve"> PAGEREF _Toc445914012 \h </w:instrText>
            </w:r>
            <w:r w:rsidR="00C36066">
              <w:rPr>
                <w:noProof/>
                <w:webHidden/>
              </w:rPr>
            </w:r>
            <w:r w:rsidR="00C36066">
              <w:rPr>
                <w:noProof/>
                <w:webHidden/>
              </w:rPr>
              <w:fldChar w:fldCharType="separate"/>
            </w:r>
            <w:r w:rsidR="00D5720E">
              <w:rPr>
                <w:noProof/>
                <w:webHidden/>
              </w:rPr>
              <w:t>9</w:t>
            </w:r>
            <w:r w:rsidR="00C36066">
              <w:rPr>
                <w:noProof/>
                <w:webHidden/>
              </w:rPr>
              <w:fldChar w:fldCharType="end"/>
            </w:r>
          </w:hyperlink>
        </w:p>
        <w:p w:rsidR="00C36066" w:rsidRDefault="0023589B">
          <w:pPr>
            <w:pStyle w:val="TOC2"/>
            <w:rPr>
              <w:rFonts w:asciiTheme="minorHAnsi" w:hAnsiTheme="minorHAnsi" w:cstheme="minorBidi"/>
              <w:noProof/>
              <w:lang w:val="en-IN" w:eastAsia="en-IN"/>
            </w:rPr>
          </w:pPr>
          <w:hyperlink w:anchor="_Toc445914013" w:history="1">
            <w:r w:rsidR="00C36066" w:rsidRPr="00214112">
              <w:rPr>
                <w:rStyle w:val="Hyperlink"/>
                <w:noProof/>
              </w:rPr>
              <w:t>2.</w:t>
            </w:r>
            <w:r w:rsidR="00C36066">
              <w:rPr>
                <w:rFonts w:asciiTheme="minorHAnsi" w:hAnsiTheme="minorHAnsi" w:cstheme="minorBidi"/>
                <w:noProof/>
                <w:lang w:val="en-IN" w:eastAsia="en-IN"/>
              </w:rPr>
              <w:tab/>
            </w:r>
            <w:r w:rsidR="00C36066" w:rsidRPr="00214112">
              <w:rPr>
                <w:rStyle w:val="Hyperlink"/>
                <w:noProof/>
              </w:rPr>
              <w:t>Deficiencies observed in Broker’s Indemnity Insurance Policy</w:t>
            </w:r>
            <w:r w:rsidR="00C36066">
              <w:rPr>
                <w:noProof/>
                <w:webHidden/>
              </w:rPr>
              <w:tab/>
            </w:r>
            <w:r w:rsidR="00C36066">
              <w:rPr>
                <w:noProof/>
                <w:webHidden/>
              </w:rPr>
              <w:fldChar w:fldCharType="begin"/>
            </w:r>
            <w:r w:rsidR="00C36066">
              <w:rPr>
                <w:noProof/>
                <w:webHidden/>
              </w:rPr>
              <w:instrText xml:space="preserve"> PAGEREF _Toc445914013 \h </w:instrText>
            </w:r>
            <w:r w:rsidR="00C36066">
              <w:rPr>
                <w:noProof/>
                <w:webHidden/>
              </w:rPr>
            </w:r>
            <w:r w:rsidR="00C36066">
              <w:rPr>
                <w:noProof/>
                <w:webHidden/>
              </w:rPr>
              <w:fldChar w:fldCharType="separate"/>
            </w:r>
            <w:r w:rsidR="00D5720E">
              <w:rPr>
                <w:noProof/>
                <w:webHidden/>
              </w:rPr>
              <w:t>9</w:t>
            </w:r>
            <w:r w:rsidR="00C36066">
              <w:rPr>
                <w:noProof/>
                <w:webHidden/>
              </w:rPr>
              <w:fldChar w:fldCharType="end"/>
            </w:r>
          </w:hyperlink>
        </w:p>
        <w:p w:rsidR="005628BE" w:rsidRDefault="00355B5F" w:rsidP="00D620BD">
          <w:pPr>
            <w:spacing w:before="0" w:after="0" w:line="360" w:lineRule="auto"/>
            <w:jc w:val="both"/>
            <w:rPr>
              <w:rFonts w:ascii="Cambria" w:hAnsi="Cambria"/>
              <w:b/>
              <w:bCs/>
              <w:noProof/>
              <w:sz w:val="24"/>
              <w:szCs w:val="24"/>
            </w:rPr>
          </w:pPr>
          <w:r>
            <w:rPr>
              <w:rFonts w:ascii="Calibri" w:hAnsi="Calibri"/>
              <w:sz w:val="24"/>
              <w:szCs w:val="24"/>
            </w:rPr>
            <w:fldChar w:fldCharType="end"/>
          </w:r>
        </w:p>
      </w:sdtContent>
    </w:sdt>
    <w:p w:rsidR="005628BE" w:rsidRDefault="005628BE">
      <w:pPr>
        <w:rPr>
          <w:rFonts w:ascii="Cambria" w:hAnsi="Cambria"/>
          <w:b/>
          <w:bCs/>
          <w:noProof/>
          <w:sz w:val="24"/>
          <w:szCs w:val="24"/>
        </w:rPr>
      </w:pPr>
      <w:r>
        <w:rPr>
          <w:rFonts w:ascii="Cambria" w:hAnsi="Cambria"/>
          <w:b/>
          <w:bCs/>
          <w:noProof/>
          <w:sz w:val="24"/>
          <w:szCs w:val="24"/>
        </w:rPr>
        <w:br w:type="page"/>
      </w:r>
    </w:p>
    <w:p w:rsidR="00DE732C" w:rsidRPr="005628BE" w:rsidRDefault="00AF3C24" w:rsidP="00AF3C24">
      <w:pPr>
        <w:pStyle w:val="Heading1"/>
        <w:ind w:left="709" w:hanging="709"/>
        <w:rPr>
          <w:rFonts w:ascii="Cambria" w:hAnsi="Cambria"/>
          <w:b/>
          <w:sz w:val="24"/>
          <w:szCs w:val="24"/>
        </w:rPr>
      </w:pPr>
      <w:bookmarkStart w:id="1" w:name="_Toc445226949"/>
      <w:bookmarkStart w:id="2" w:name="_Toc445914000"/>
      <w:r>
        <w:rPr>
          <w:rFonts w:ascii="Cambria" w:hAnsi="Cambria"/>
          <w:b/>
          <w:sz w:val="24"/>
          <w:szCs w:val="24"/>
        </w:rPr>
        <w:lastRenderedPageBreak/>
        <w:t>I.</w:t>
      </w:r>
      <w:r>
        <w:rPr>
          <w:rFonts w:ascii="Cambria" w:hAnsi="Cambria"/>
          <w:b/>
          <w:sz w:val="24"/>
          <w:szCs w:val="24"/>
        </w:rPr>
        <w:tab/>
      </w:r>
      <w:r w:rsidR="00953EBF" w:rsidRPr="005628BE">
        <w:rPr>
          <w:rFonts w:ascii="Cambria" w:hAnsi="Cambria"/>
          <w:b/>
          <w:sz w:val="24"/>
          <w:szCs w:val="24"/>
        </w:rPr>
        <w:t>Master Circular on Valuation</w:t>
      </w:r>
      <w:bookmarkEnd w:id="1"/>
      <w:r w:rsidR="00953EBF" w:rsidRPr="005628BE">
        <w:rPr>
          <w:rFonts w:ascii="Cambria" w:hAnsi="Cambria"/>
          <w:b/>
          <w:sz w:val="24"/>
          <w:szCs w:val="24"/>
        </w:rPr>
        <w:t xml:space="preserve"> of Unlisted (Unquoted) Securities for Computation of Networth</w:t>
      </w:r>
      <w:bookmarkEnd w:id="2"/>
    </w:p>
    <w:p w:rsidR="00D22112" w:rsidRPr="00D620BD" w:rsidRDefault="00D22112" w:rsidP="00D620BD">
      <w:pPr>
        <w:spacing w:before="0" w:after="0" w:line="360" w:lineRule="auto"/>
        <w:jc w:val="both"/>
        <w:rPr>
          <w:rFonts w:ascii="Cambria" w:hAnsi="Cambria"/>
          <w:sz w:val="24"/>
          <w:szCs w:val="24"/>
        </w:rPr>
      </w:pPr>
    </w:p>
    <w:p w:rsidR="00A96CBE" w:rsidRPr="00C63DBC" w:rsidRDefault="00A96CBE" w:rsidP="005628BE">
      <w:pPr>
        <w:pStyle w:val="ListParagraph"/>
        <w:numPr>
          <w:ilvl w:val="0"/>
          <w:numId w:val="15"/>
        </w:numPr>
        <w:spacing w:before="0" w:after="0" w:line="360" w:lineRule="auto"/>
        <w:jc w:val="both"/>
        <w:outlineLvl w:val="1"/>
        <w:rPr>
          <w:rFonts w:ascii="Cambria" w:hAnsi="Cambria"/>
          <w:sz w:val="24"/>
          <w:szCs w:val="24"/>
        </w:rPr>
      </w:pPr>
      <w:bookmarkStart w:id="3" w:name="_Toc445914001"/>
      <w:r w:rsidRPr="00C63DBC">
        <w:rPr>
          <w:rFonts w:ascii="Cambria" w:hAnsi="Cambria"/>
          <w:sz w:val="24"/>
          <w:szCs w:val="24"/>
        </w:rPr>
        <w:t>Valuation</w:t>
      </w:r>
      <w:r w:rsidR="00233C77" w:rsidRPr="00C63DBC">
        <w:rPr>
          <w:rFonts w:ascii="Cambria" w:hAnsi="Cambria"/>
          <w:sz w:val="24"/>
          <w:szCs w:val="24"/>
        </w:rPr>
        <w:t xml:space="preserve"> of</w:t>
      </w:r>
      <w:r w:rsidRPr="00C63DBC">
        <w:rPr>
          <w:rFonts w:ascii="Cambria" w:hAnsi="Cambria"/>
          <w:sz w:val="24"/>
          <w:szCs w:val="24"/>
        </w:rPr>
        <w:t xml:space="preserve"> Unlisted </w:t>
      </w:r>
      <w:r w:rsidR="00225AC6" w:rsidRPr="00C63DBC">
        <w:rPr>
          <w:rFonts w:ascii="Cambria" w:hAnsi="Cambria"/>
          <w:sz w:val="24"/>
          <w:szCs w:val="24"/>
        </w:rPr>
        <w:t>(Unquoted) securities</w:t>
      </w:r>
      <w:bookmarkEnd w:id="3"/>
      <w:r w:rsidR="00DB1601" w:rsidRPr="00C63DBC">
        <w:rPr>
          <w:rFonts w:ascii="Cambria" w:hAnsi="Cambria"/>
          <w:sz w:val="24"/>
          <w:szCs w:val="24"/>
        </w:rPr>
        <w:t xml:space="preserve"> </w:t>
      </w:r>
    </w:p>
    <w:p w:rsidR="00206FBC" w:rsidRDefault="00206FBC" w:rsidP="00D620BD">
      <w:pPr>
        <w:pStyle w:val="ListParagraph"/>
        <w:spacing w:before="0" w:after="0" w:line="360" w:lineRule="auto"/>
        <w:jc w:val="both"/>
        <w:rPr>
          <w:rFonts w:ascii="Cambria" w:hAnsi="Cambria"/>
          <w:sz w:val="24"/>
          <w:szCs w:val="24"/>
        </w:rPr>
      </w:pPr>
    </w:p>
    <w:p w:rsidR="00342F34" w:rsidRPr="00D620BD" w:rsidRDefault="00342F34" w:rsidP="00D620BD">
      <w:pPr>
        <w:pStyle w:val="ListParagraph"/>
        <w:spacing w:before="0" w:after="0" w:line="360" w:lineRule="auto"/>
        <w:jc w:val="both"/>
        <w:rPr>
          <w:rFonts w:ascii="Cambria" w:hAnsi="Cambria"/>
          <w:sz w:val="24"/>
          <w:szCs w:val="24"/>
        </w:rPr>
      </w:pPr>
      <w:r w:rsidRPr="00D620BD">
        <w:rPr>
          <w:rFonts w:ascii="Cambria" w:hAnsi="Cambria"/>
          <w:sz w:val="24"/>
          <w:szCs w:val="24"/>
        </w:rPr>
        <w:t>The Fair value of the unlisted (unquoted) securities is to be certified by the Chartered Accountant of the Trading Members who issues the networth certificate in the prescribed format.</w:t>
      </w:r>
    </w:p>
    <w:p w:rsidR="00342F34" w:rsidRPr="00D620BD" w:rsidRDefault="00342F34" w:rsidP="00D620BD">
      <w:pPr>
        <w:pStyle w:val="ListParagraph"/>
        <w:spacing w:before="0" w:after="0" w:line="360" w:lineRule="auto"/>
        <w:jc w:val="both"/>
        <w:rPr>
          <w:rFonts w:ascii="Cambria" w:hAnsi="Cambria"/>
          <w:sz w:val="24"/>
          <w:szCs w:val="24"/>
        </w:rPr>
      </w:pPr>
    </w:p>
    <w:p w:rsidR="00342F34" w:rsidRPr="00D620BD" w:rsidRDefault="00342F34" w:rsidP="00D620BD">
      <w:pPr>
        <w:pStyle w:val="ListParagraph"/>
        <w:spacing w:before="0" w:after="0" w:line="360" w:lineRule="auto"/>
        <w:jc w:val="both"/>
        <w:rPr>
          <w:rFonts w:ascii="Cambria" w:hAnsi="Cambria"/>
          <w:sz w:val="24"/>
          <w:szCs w:val="24"/>
        </w:rPr>
      </w:pPr>
      <w:r w:rsidRPr="00D620BD">
        <w:rPr>
          <w:rFonts w:ascii="Cambria" w:hAnsi="Cambria"/>
          <w:sz w:val="24"/>
          <w:szCs w:val="24"/>
        </w:rPr>
        <w:t>The method for determination of fair value of unlisted (unquoted) securities held by a Trading Member for computation of networth is as follows –</w:t>
      </w:r>
    </w:p>
    <w:p w:rsidR="00342F34" w:rsidRPr="00D620BD" w:rsidRDefault="00342F34" w:rsidP="00D620BD">
      <w:pPr>
        <w:pStyle w:val="ListParagraph"/>
        <w:spacing w:before="0" w:after="0" w:line="360" w:lineRule="auto"/>
        <w:jc w:val="both"/>
        <w:rPr>
          <w:rFonts w:ascii="Cambria" w:hAnsi="Cambria"/>
          <w:sz w:val="24"/>
          <w:szCs w:val="24"/>
        </w:rPr>
      </w:pPr>
    </w:p>
    <w:p w:rsidR="00342F34" w:rsidRPr="00D620BD" w:rsidRDefault="00342F34" w:rsidP="00D620BD">
      <w:pPr>
        <w:pStyle w:val="ListParagraph"/>
        <w:spacing w:before="0" w:after="0" w:line="360" w:lineRule="auto"/>
        <w:jc w:val="both"/>
        <w:rPr>
          <w:rFonts w:ascii="Cambria" w:hAnsi="Cambria"/>
          <w:sz w:val="24"/>
          <w:szCs w:val="24"/>
        </w:rPr>
      </w:pPr>
      <w:r w:rsidRPr="00D620BD">
        <w:rPr>
          <w:rFonts w:ascii="Cambria" w:hAnsi="Cambria"/>
          <w:sz w:val="24"/>
          <w:szCs w:val="24"/>
        </w:rPr>
        <w:t>Fair value means the average of the Earning value and the Breakup Value. For this purpose: -</w:t>
      </w:r>
    </w:p>
    <w:p w:rsidR="00342F34" w:rsidRPr="00D620BD" w:rsidRDefault="00342F34" w:rsidP="009C5D5C">
      <w:pPr>
        <w:pStyle w:val="ListParagraph"/>
        <w:numPr>
          <w:ilvl w:val="0"/>
          <w:numId w:val="31"/>
        </w:numPr>
        <w:spacing w:before="0" w:after="0" w:line="360" w:lineRule="auto"/>
        <w:jc w:val="both"/>
        <w:rPr>
          <w:rFonts w:ascii="Cambria" w:hAnsi="Cambria"/>
          <w:sz w:val="24"/>
          <w:szCs w:val="24"/>
        </w:rPr>
      </w:pPr>
      <w:r w:rsidRPr="00D620BD">
        <w:rPr>
          <w:rFonts w:ascii="Cambria" w:hAnsi="Cambria"/>
          <w:sz w:val="24"/>
          <w:szCs w:val="24"/>
        </w:rPr>
        <w:t>The breakup value means the equity capital and reserves as reduced by intangible assets and revaluation reserves, divided by the number of equity shares of the investee company.</w:t>
      </w:r>
    </w:p>
    <w:p w:rsidR="00342F34" w:rsidRPr="00D620BD" w:rsidRDefault="00342F34" w:rsidP="009C5D5C">
      <w:pPr>
        <w:pStyle w:val="ListParagraph"/>
        <w:numPr>
          <w:ilvl w:val="0"/>
          <w:numId w:val="31"/>
        </w:numPr>
        <w:spacing w:before="0" w:after="0" w:line="360" w:lineRule="auto"/>
        <w:jc w:val="both"/>
        <w:rPr>
          <w:rFonts w:ascii="Cambria" w:hAnsi="Cambria"/>
          <w:sz w:val="24"/>
          <w:szCs w:val="24"/>
        </w:rPr>
      </w:pPr>
      <w:r w:rsidRPr="00D620BD">
        <w:rPr>
          <w:rFonts w:ascii="Cambria" w:hAnsi="Cambria"/>
          <w:sz w:val="24"/>
          <w:szCs w:val="24"/>
        </w:rPr>
        <w:t>The earning value means the value of the equity share computed by taking the average of profits after tax as reduced by the preference dividend and adjusted for extra-ordinary and non-recurring items, for the immediately preceding three years and further divided by the number of equity shares of the investee company and capitalized at the following rate:</w:t>
      </w:r>
    </w:p>
    <w:p w:rsidR="00342F34" w:rsidRPr="00D620BD" w:rsidRDefault="00342F34" w:rsidP="00D620BD">
      <w:pPr>
        <w:pStyle w:val="ListParagraph"/>
        <w:numPr>
          <w:ilvl w:val="0"/>
          <w:numId w:val="28"/>
        </w:numPr>
        <w:spacing w:before="0" w:after="0" w:line="360" w:lineRule="auto"/>
        <w:jc w:val="both"/>
        <w:rPr>
          <w:rFonts w:ascii="Cambria" w:hAnsi="Cambria"/>
          <w:sz w:val="24"/>
          <w:szCs w:val="24"/>
        </w:rPr>
      </w:pPr>
      <w:r w:rsidRPr="00D620BD">
        <w:rPr>
          <w:rFonts w:ascii="Cambria" w:hAnsi="Cambria"/>
          <w:sz w:val="24"/>
          <w:szCs w:val="24"/>
        </w:rPr>
        <w:t>In case of predominantly manufacturing company, eight percent;</w:t>
      </w:r>
    </w:p>
    <w:p w:rsidR="00342F34" w:rsidRPr="00D620BD" w:rsidRDefault="00342F34" w:rsidP="00D620BD">
      <w:pPr>
        <w:pStyle w:val="ListParagraph"/>
        <w:numPr>
          <w:ilvl w:val="0"/>
          <w:numId w:val="28"/>
        </w:numPr>
        <w:spacing w:before="0" w:after="0" w:line="360" w:lineRule="auto"/>
        <w:jc w:val="both"/>
        <w:rPr>
          <w:rFonts w:ascii="Cambria" w:hAnsi="Cambria"/>
          <w:sz w:val="24"/>
          <w:szCs w:val="24"/>
        </w:rPr>
      </w:pPr>
      <w:r w:rsidRPr="00D620BD">
        <w:rPr>
          <w:rFonts w:ascii="Cambria" w:hAnsi="Cambria"/>
          <w:sz w:val="24"/>
          <w:szCs w:val="24"/>
        </w:rPr>
        <w:t xml:space="preserve">In case of predominantly trading company, ten percent; </w:t>
      </w:r>
    </w:p>
    <w:p w:rsidR="00342F34" w:rsidRPr="00D620BD" w:rsidRDefault="00342F34" w:rsidP="00D620BD">
      <w:pPr>
        <w:pStyle w:val="ListParagraph"/>
        <w:numPr>
          <w:ilvl w:val="0"/>
          <w:numId w:val="28"/>
        </w:numPr>
        <w:spacing w:before="0" w:after="0" w:line="360" w:lineRule="auto"/>
        <w:jc w:val="both"/>
        <w:rPr>
          <w:rFonts w:ascii="Cambria" w:hAnsi="Cambria"/>
          <w:sz w:val="24"/>
          <w:szCs w:val="24"/>
        </w:rPr>
      </w:pPr>
      <w:r w:rsidRPr="00D620BD">
        <w:rPr>
          <w:rFonts w:ascii="Cambria" w:hAnsi="Cambria"/>
          <w:sz w:val="24"/>
          <w:szCs w:val="24"/>
        </w:rPr>
        <w:t xml:space="preserve">In case of predominantly service sector company (other than a NBFC), six percent;  </w:t>
      </w:r>
    </w:p>
    <w:p w:rsidR="00342F34" w:rsidRPr="00D620BD" w:rsidRDefault="00342F34" w:rsidP="00D620BD">
      <w:pPr>
        <w:pStyle w:val="ListParagraph"/>
        <w:numPr>
          <w:ilvl w:val="0"/>
          <w:numId w:val="28"/>
        </w:numPr>
        <w:spacing w:before="0" w:after="0" w:line="360" w:lineRule="auto"/>
        <w:jc w:val="both"/>
        <w:rPr>
          <w:rFonts w:ascii="Cambria" w:hAnsi="Cambria"/>
          <w:sz w:val="24"/>
          <w:szCs w:val="24"/>
        </w:rPr>
      </w:pPr>
      <w:r w:rsidRPr="00D620BD">
        <w:rPr>
          <w:rFonts w:ascii="Cambria" w:hAnsi="Cambria"/>
          <w:sz w:val="24"/>
          <w:szCs w:val="24"/>
        </w:rPr>
        <w:t>In case of any other company, including NBFC, twelve percent,</w:t>
      </w:r>
    </w:p>
    <w:p w:rsidR="00342F34" w:rsidRPr="00D620BD" w:rsidRDefault="00342F34" w:rsidP="00D620BD">
      <w:pPr>
        <w:pStyle w:val="ListParagraph"/>
        <w:numPr>
          <w:ilvl w:val="0"/>
          <w:numId w:val="28"/>
        </w:numPr>
        <w:spacing w:before="0" w:after="0" w:line="360" w:lineRule="auto"/>
        <w:jc w:val="both"/>
        <w:rPr>
          <w:rFonts w:ascii="Cambria" w:hAnsi="Cambria"/>
          <w:sz w:val="24"/>
          <w:szCs w:val="24"/>
        </w:rPr>
      </w:pPr>
      <w:r w:rsidRPr="00D620BD">
        <w:rPr>
          <w:rFonts w:ascii="Cambria" w:hAnsi="Cambria"/>
          <w:sz w:val="24"/>
          <w:szCs w:val="24"/>
        </w:rPr>
        <w:t>If, an investee company is a loss making company, the earning value will be taken at zero</w:t>
      </w:r>
    </w:p>
    <w:p w:rsidR="00342F34" w:rsidRPr="00D620BD" w:rsidRDefault="00371009" w:rsidP="00D620BD">
      <w:pPr>
        <w:pStyle w:val="ListParagraph"/>
        <w:spacing w:before="0" w:after="0" w:line="360" w:lineRule="auto"/>
        <w:jc w:val="both"/>
        <w:rPr>
          <w:rFonts w:ascii="Cambria" w:hAnsi="Cambria"/>
          <w:sz w:val="24"/>
          <w:szCs w:val="24"/>
        </w:rPr>
      </w:pPr>
      <w:r w:rsidRPr="00D620BD">
        <w:rPr>
          <w:rFonts w:ascii="Cambria" w:hAnsi="Cambria"/>
          <w:sz w:val="24"/>
          <w:szCs w:val="24"/>
        </w:rPr>
        <w:t xml:space="preserve">Thus, </w:t>
      </w:r>
      <w:r w:rsidR="00342F34" w:rsidRPr="00D620BD">
        <w:rPr>
          <w:rFonts w:ascii="Cambria" w:hAnsi="Cambria"/>
          <w:sz w:val="24"/>
          <w:szCs w:val="24"/>
        </w:rPr>
        <w:t xml:space="preserve">Earning Value for an NBFC with capitalisation rate of 12% </w:t>
      </w:r>
      <w:r w:rsidRPr="00D620BD">
        <w:rPr>
          <w:rFonts w:ascii="Cambria" w:hAnsi="Cambria"/>
          <w:sz w:val="24"/>
          <w:szCs w:val="24"/>
        </w:rPr>
        <w:t xml:space="preserve">would be </w:t>
      </w:r>
      <w:r w:rsidR="00342F34" w:rsidRPr="00D620BD">
        <w:rPr>
          <w:rFonts w:ascii="Cambria" w:hAnsi="Cambria"/>
          <w:sz w:val="24"/>
          <w:szCs w:val="24"/>
        </w:rPr>
        <w:t xml:space="preserve">earning </w:t>
      </w:r>
      <w:r w:rsidRPr="00D620BD">
        <w:rPr>
          <w:rFonts w:ascii="Cambria" w:hAnsi="Cambria"/>
          <w:sz w:val="24"/>
          <w:szCs w:val="24"/>
        </w:rPr>
        <w:t>per share multiplied by 100/12.</w:t>
      </w:r>
    </w:p>
    <w:p w:rsidR="006329FC" w:rsidRPr="00D620BD" w:rsidRDefault="006329FC" w:rsidP="00D620BD">
      <w:pPr>
        <w:pStyle w:val="ListParagraph"/>
        <w:spacing w:before="0" w:after="0" w:line="360" w:lineRule="auto"/>
        <w:jc w:val="both"/>
        <w:rPr>
          <w:rFonts w:ascii="Cambria" w:hAnsi="Cambria"/>
          <w:sz w:val="24"/>
          <w:szCs w:val="24"/>
        </w:rPr>
      </w:pPr>
    </w:p>
    <w:p w:rsidR="00DB1601" w:rsidRPr="00206FBC" w:rsidRDefault="00DB1601" w:rsidP="005628BE">
      <w:pPr>
        <w:pStyle w:val="ListParagraph"/>
        <w:numPr>
          <w:ilvl w:val="0"/>
          <w:numId w:val="15"/>
        </w:numPr>
        <w:spacing w:before="0" w:after="0" w:line="360" w:lineRule="auto"/>
        <w:jc w:val="both"/>
        <w:outlineLvl w:val="1"/>
        <w:rPr>
          <w:rFonts w:ascii="Cambria" w:hAnsi="Cambria"/>
          <w:sz w:val="24"/>
          <w:szCs w:val="24"/>
        </w:rPr>
      </w:pPr>
      <w:bookmarkStart w:id="4" w:name="_Toc445914002"/>
      <w:r w:rsidRPr="00206FBC">
        <w:rPr>
          <w:rFonts w:ascii="Cambria" w:hAnsi="Cambria"/>
          <w:sz w:val="24"/>
          <w:szCs w:val="24"/>
        </w:rPr>
        <w:t>Valuation of shares of BSE Ltd. for purpose of computation of Networth</w:t>
      </w:r>
      <w:bookmarkEnd w:id="4"/>
    </w:p>
    <w:p w:rsidR="00206FBC" w:rsidRDefault="00206FBC" w:rsidP="00D620BD">
      <w:pPr>
        <w:pStyle w:val="ListParagraph"/>
        <w:spacing w:before="0" w:after="0" w:line="360" w:lineRule="auto"/>
        <w:jc w:val="both"/>
        <w:rPr>
          <w:rFonts w:ascii="Cambria" w:hAnsi="Cambria" w:cs="Arial"/>
          <w:color w:val="000000"/>
          <w:sz w:val="24"/>
          <w:szCs w:val="24"/>
        </w:rPr>
      </w:pPr>
    </w:p>
    <w:p w:rsidR="00342F34" w:rsidRPr="00D620BD" w:rsidRDefault="00DB1601" w:rsidP="00D620BD">
      <w:pPr>
        <w:pStyle w:val="ListParagraph"/>
        <w:spacing w:before="0" w:after="0" w:line="360" w:lineRule="auto"/>
        <w:jc w:val="both"/>
        <w:rPr>
          <w:rFonts w:ascii="Cambria" w:hAnsi="Cambria"/>
          <w:sz w:val="24"/>
          <w:szCs w:val="24"/>
        </w:rPr>
      </w:pPr>
      <w:r w:rsidRPr="00D620BD">
        <w:rPr>
          <w:rFonts w:ascii="Cambria" w:hAnsi="Cambria" w:cs="Arial"/>
          <w:color w:val="000000"/>
          <w:sz w:val="24"/>
          <w:szCs w:val="24"/>
        </w:rPr>
        <w:t xml:space="preserve">The Exchange in order to have uniformity with regard to value of shares of BSE Ltd. based on the formula mentioned in the Notices dated December 1, 2008 and May 29,2015 has determined the ‘Fair Value’ of Shares of BSE Ltd., duly certified by the Auditor of the Exchange at </w:t>
      </w:r>
      <w:r w:rsidRPr="00D620BD">
        <w:rPr>
          <w:rFonts w:ascii="Cambria" w:hAnsi="Cambria" w:cs="Arial"/>
          <w:b/>
          <w:color w:val="000000"/>
          <w:sz w:val="24"/>
          <w:szCs w:val="24"/>
        </w:rPr>
        <w:t>Rs.</w:t>
      </w:r>
      <w:r w:rsidRPr="00D620BD">
        <w:rPr>
          <w:rStyle w:val="apple-converted-space"/>
          <w:rFonts w:ascii="Cambria" w:hAnsi="Cambria" w:cs="Arial"/>
          <w:color w:val="000000"/>
          <w:sz w:val="24"/>
          <w:szCs w:val="24"/>
        </w:rPr>
        <w:t> </w:t>
      </w:r>
      <w:r w:rsidRPr="00D620BD">
        <w:rPr>
          <w:rFonts w:ascii="Cambria" w:hAnsi="Cambria" w:cs="Arial"/>
          <w:b/>
          <w:bCs/>
          <w:color w:val="000000"/>
          <w:sz w:val="24"/>
          <w:szCs w:val="24"/>
        </w:rPr>
        <w:t>221.56 per share</w:t>
      </w:r>
      <w:r w:rsidRPr="00D620BD">
        <w:rPr>
          <w:rFonts w:ascii="Cambria" w:hAnsi="Cambria" w:cs="Arial"/>
          <w:color w:val="000000"/>
          <w:sz w:val="24"/>
          <w:szCs w:val="24"/>
        </w:rPr>
        <w:t>. This value can be taken into account by the trading members for the purpose of computation of their Networth as on March 31, 2015 and thereafter for the purpose of computation of Networth as on September 30, 2015. It may be noted that the determination of the fair value is the average of Earnings Value of </w:t>
      </w:r>
      <w:r w:rsidRPr="00D620BD">
        <w:rPr>
          <w:rFonts w:ascii="Cambria" w:hAnsi="Cambria" w:cs="Arial"/>
          <w:b/>
          <w:color w:val="000000"/>
          <w:sz w:val="24"/>
          <w:szCs w:val="24"/>
        </w:rPr>
        <w:t>Rs.</w:t>
      </w:r>
      <w:r w:rsidRPr="00D620BD">
        <w:rPr>
          <w:rStyle w:val="apple-converted-space"/>
          <w:rFonts w:ascii="Cambria" w:hAnsi="Cambria" w:cs="Arial"/>
          <w:b/>
          <w:color w:val="000000"/>
          <w:sz w:val="24"/>
          <w:szCs w:val="24"/>
        </w:rPr>
        <w:t> </w:t>
      </w:r>
      <w:r w:rsidRPr="00D620BD">
        <w:rPr>
          <w:rFonts w:ascii="Cambria" w:hAnsi="Cambria" w:cs="Arial"/>
          <w:b/>
          <w:color w:val="000000"/>
          <w:sz w:val="24"/>
          <w:szCs w:val="24"/>
        </w:rPr>
        <w:t>218.05</w:t>
      </w:r>
      <w:r w:rsidRPr="00D620BD">
        <w:rPr>
          <w:rFonts w:ascii="Cambria" w:hAnsi="Cambria" w:cs="Arial"/>
          <w:color w:val="000000"/>
          <w:sz w:val="24"/>
          <w:szCs w:val="24"/>
        </w:rPr>
        <w:t xml:space="preserve"> per share and Break</w:t>
      </w:r>
      <w:r w:rsidR="00D620BD">
        <w:rPr>
          <w:rFonts w:ascii="Cambria" w:hAnsi="Cambria" w:cs="Arial"/>
          <w:color w:val="000000"/>
          <w:sz w:val="24"/>
          <w:szCs w:val="24"/>
        </w:rPr>
        <w:t>-</w:t>
      </w:r>
      <w:r w:rsidRPr="00D620BD">
        <w:rPr>
          <w:rFonts w:ascii="Cambria" w:hAnsi="Cambria" w:cs="Arial"/>
          <w:color w:val="000000"/>
          <w:sz w:val="24"/>
          <w:szCs w:val="24"/>
        </w:rPr>
        <w:t xml:space="preserve">up Value of </w:t>
      </w:r>
      <w:r w:rsidRPr="00D620BD">
        <w:rPr>
          <w:rFonts w:ascii="Cambria" w:hAnsi="Cambria" w:cs="Arial"/>
          <w:b/>
          <w:color w:val="000000"/>
          <w:sz w:val="24"/>
          <w:szCs w:val="24"/>
        </w:rPr>
        <w:t>Rs.</w:t>
      </w:r>
      <w:r w:rsidRPr="00D620BD">
        <w:rPr>
          <w:rStyle w:val="apple-converted-space"/>
          <w:rFonts w:ascii="Cambria" w:hAnsi="Cambria" w:cs="Arial"/>
          <w:b/>
          <w:color w:val="000000"/>
          <w:sz w:val="24"/>
          <w:szCs w:val="24"/>
        </w:rPr>
        <w:t> </w:t>
      </w:r>
      <w:r w:rsidRPr="00D620BD">
        <w:rPr>
          <w:rFonts w:ascii="Cambria" w:hAnsi="Cambria" w:cs="Arial"/>
          <w:b/>
          <w:color w:val="000000"/>
          <w:sz w:val="24"/>
          <w:szCs w:val="24"/>
        </w:rPr>
        <w:t>225.07</w:t>
      </w:r>
      <w:r w:rsidRPr="00D620BD">
        <w:rPr>
          <w:rFonts w:ascii="Cambria" w:hAnsi="Cambria" w:cs="Arial"/>
          <w:color w:val="000000"/>
          <w:sz w:val="24"/>
          <w:szCs w:val="24"/>
        </w:rPr>
        <w:t xml:space="preserve"> per share as determined on the basis of the said notices.</w:t>
      </w:r>
    </w:p>
    <w:p w:rsidR="005628BE" w:rsidRDefault="005628BE" w:rsidP="00D620BD">
      <w:pPr>
        <w:pStyle w:val="ListParagraph"/>
        <w:spacing w:before="0" w:after="0" w:line="360" w:lineRule="auto"/>
        <w:jc w:val="both"/>
        <w:rPr>
          <w:rFonts w:ascii="Cambria" w:hAnsi="Cambria"/>
          <w:sz w:val="24"/>
          <w:szCs w:val="24"/>
          <w:u w:val="single"/>
        </w:rPr>
      </w:pPr>
    </w:p>
    <w:p w:rsidR="006329FC" w:rsidRDefault="006329FC">
      <w:pPr>
        <w:rPr>
          <w:rFonts w:ascii="Cambria" w:hAnsi="Cambria"/>
          <w:b/>
          <w:sz w:val="24"/>
          <w:szCs w:val="24"/>
          <w:u w:val="single"/>
        </w:rPr>
      </w:pPr>
      <w:r>
        <w:rPr>
          <w:rFonts w:ascii="Cambria" w:hAnsi="Cambria"/>
          <w:b/>
          <w:sz w:val="24"/>
          <w:szCs w:val="24"/>
          <w:u w:val="single"/>
        </w:rPr>
        <w:br w:type="page"/>
      </w:r>
    </w:p>
    <w:p w:rsidR="00CF70E9" w:rsidRDefault="00CF70E9">
      <w:pPr>
        <w:rPr>
          <w:rFonts w:ascii="Cambria" w:hAnsi="Cambria"/>
          <w:sz w:val="24"/>
          <w:szCs w:val="24"/>
        </w:rPr>
      </w:pPr>
    </w:p>
    <w:p w:rsidR="007C14DF" w:rsidRPr="005628BE" w:rsidRDefault="00AF3C24" w:rsidP="00AF3C24">
      <w:pPr>
        <w:pStyle w:val="Heading1"/>
        <w:ind w:left="709" w:hanging="709"/>
        <w:rPr>
          <w:rFonts w:ascii="Cambria" w:hAnsi="Cambria"/>
          <w:b/>
          <w:sz w:val="24"/>
          <w:szCs w:val="24"/>
        </w:rPr>
      </w:pPr>
      <w:bookmarkStart w:id="5" w:name="_Toc445914003"/>
      <w:r>
        <w:rPr>
          <w:rFonts w:ascii="Cambria" w:hAnsi="Cambria"/>
          <w:b/>
          <w:sz w:val="24"/>
          <w:szCs w:val="24"/>
        </w:rPr>
        <w:t>II.</w:t>
      </w:r>
      <w:r>
        <w:rPr>
          <w:rFonts w:ascii="Cambria" w:hAnsi="Cambria"/>
          <w:b/>
          <w:sz w:val="24"/>
          <w:szCs w:val="24"/>
        </w:rPr>
        <w:tab/>
      </w:r>
      <w:r w:rsidR="007C14DF" w:rsidRPr="005628BE">
        <w:rPr>
          <w:rFonts w:ascii="Cambria" w:hAnsi="Cambria"/>
          <w:b/>
          <w:sz w:val="24"/>
          <w:szCs w:val="24"/>
        </w:rPr>
        <w:t xml:space="preserve">Master Circular </w:t>
      </w:r>
      <w:r w:rsidR="00195284" w:rsidRPr="005628BE">
        <w:rPr>
          <w:rFonts w:ascii="Cambria" w:hAnsi="Cambria"/>
          <w:b/>
          <w:sz w:val="24"/>
          <w:szCs w:val="24"/>
        </w:rPr>
        <w:t xml:space="preserve">on </w:t>
      </w:r>
      <w:r w:rsidR="005628BE">
        <w:rPr>
          <w:rFonts w:ascii="Cambria" w:hAnsi="Cambria"/>
          <w:b/>
          <w:sz w:val="24"/>
          <w:szCs w:val="24"/>
        </w:rPr>
        <w:t>D</w:t>
      </w:r>
      <w:r w:rsidR="00195284" w:rsidRPr="005628BE">
        <w:rPr>
          <w:rFonts w:ascii="Cambria" w:hAnsi="Cambria"/>
          <w:b/>
          <w:sz w:val="24"/>
          <w:szCs w:val="24"/>
        </w:rPr>
        <w:t xml:space="preserve">irect </w:t>
      </w:r>
      <w:r w:rsidR="007C14DF" w:rsidRPr="005628BE">
        <w:rPr>
          <w:rFonts w:ascii="Cambria" w:hAnsi="Cambria"/>
          <w:b/>
          <w:sz w:val="24"/>
          <w:szCs w:val="24"/>
        </w:rPr>
        <w:t>Tax</w:t>
      </w:r>
      <w:r w:rsidR="00195284" w:rsidRPr="005628BE">
        <w:rPr>
          <w:rFonts w:ascii="Cambria" w:hAnsi="Cambria"/>
          <w:b/>
          <w:sz w:val="24"/>
          <w:szCs w:val="24"/>
        </w:rPr>
        <w:t xml:space="preserve"> </w:t>
      </w:r>
      <w:r w:rsidR="005628BE">
        <w:rPr>
          <w:rFonts w:ascii="Cambria" w:hAnsi="Cambria"/>
          <w:b/>
          <w:sz w:val="24"/>
          <w:szCs w:val="24"/>
        </w:rPr>
        <w:t>M</w:t>
      </w:r>
      <w:r w:rsidR="00195284" w:rsidRPr="005628BE">
        <w:rPr>
          <w:rFonts w:ascii="Cambria" w:hAnsi="Cambria"/>
          <w:b/>
          <w:sz w:val="24"/>
          <w:szCs w:val="24"/>
        </w:rPr>
        <w:t>atters</w:t>
      </w:r>
      <w:bookmarkEnd w:id="5"/>
    </w:p>
    <w:p w:rsidR="007C14DF" w:rsidRPr="00D620BD" w:rsidRDefault="007C14DF" w:rsidP="00D620BD">
      <w:pPr>
        <w:pStyle w:val="ListParagraph"/>
        <w:spacing w:before="0" w:after="0" w:line="360" w:lineRule="auto"/>
        <w:jc w:val="both"/>
        <w:rPr>
          <w:rFonts w:ascii="Cambria" w:hAnsi="Cambria"/>
          <w:sz w:val="24"/>
          <w:szCs w:val="24"/>
        </w:rPr>
      </w:pPr>
    </w:p>
    <w:p w:rsidR="007C14DF" w:rsidRPr="00DC7C19" w:rsidRDefault="00DB1601" w:rsidP="005628BE">
      <w:pPr>
        <w:pStyle w:val="ListParagraph"/>
        <w:numPr>
          <w:ilvl w:val="0"/>
          <w:numId w:val="33"/>
        </w:numPr>
        <w:spacing w:before="0" w:after="0" w:line="360" w:lineRule="auto"/>
        <w:jc w:val="both"/>
        <w:outlineLvl w:val="1"/>
        <w:rPr>
          <w:rFonts w:ascii="Cambria" w:hAnsi="Cambria"/>
          <w:sz w:val="24"/>
          <w:szCs w:val="24"/>
        </w:rPr>
      </w:pPr>
      <w:bookmarkStart w:id="6" w:name="_Toc445914004"/>
      <w:r w:rsidRPr="00DC7C19">
        <w:rPr>
          <w:rFonts w:ascii="Cambria" w:hAnsi="Cambria"/>
          <w:sz w:val="24"/>
          <w:szCs w:val="24"/>
        </w:rPr>
        <w:t>Non deduction of TDS on Service Tax element of Bills</w:t>
      </w:r>
      <w:bookmarkEnd w:id="6"/>
      <w:r w:rsidRPr="00DC7C19">
        <w:rPr>
          <w:rFonts w:ascii="Cambria" w:hAnsi="Cambria"/>
          <w:sz w:val="24"/>
          <w:szCs w:val="24"/>
        </w:rPr>
        <w:t xml:space="preserve"> </w:t>
      </w:r>
    </w:p>
    <w:p w:rsidR="00DC7C19" w:rsidRDefault="00DC7C19" w:rsidP="00D620BD">
      <w:pPr>
        <w:pStyle w:val="ListParagraph"/>
        <w:spacing w:before="0" w:after="0" w:line="360" w:lineRule="auto"/>
        <w:jc w:val="both"/>
        <w:rPr>
          <w:rFonts w:ascii="Cambria" w:hAnsi="Cambria"/>
          <w:sz w:val="24"/>
          <w:szCs w:val="24"/>
        </w:rPr>
      </w:pPr>
    </w:p>
    <w:p w:rsidR="00DB1601" w:rsidRPr="00D620BD" w:rsidRDefault="00DB1601" w:rsidP="00D620BD">
      <w:pPr>
        <w:pStyle w:val="ListParagraph"/>
        <w:spacing w:before="0" w:after="0" w:line="360" w:lineRule="auto"/>
        <w:jc w:val="both"/>
        <w:rPr>
          <w:rFonts w:ascii="Cambria" w:hAnsi="Cambria"/>
          <w:sz w:val="24"/>
          <w:szCs w:val="24"/>
        </w:rPr>
      </w:pPr>
      <w:r w:rsidRPr="00D620BD">
        <w:rPr>
          <w:rFonts w:ascii="Cambria" w:hAnsi="Cambria"/>
          <w:sz w:val="24"/>
          <w:szCs w:val="24"/>
        </w:rPr>
        <w:t>As per CBDT Circular No 1/ 2014, wherever in terms of the agreement/contract between the payer and the payee, the service tax component comprised in the amount payable to a resident is indicated separately, tax is required to be deducted at source under Chapter XVII-B of the Act on the amount paid/payable without including such service tax component.</w:t>
      </w:r>
    </w:p>
    <w:p w:rsidR="000B7498" w:rsidRPr="00D620BD" w:rsidRDefault="000B7498" w:rsidP="00D620BD">
      <w:pPr>
        <w:pStyle w:val="ListParagraph"/>
        <w:spacing w:before="0" w:after="0" w:line="360" w:lineRule="auto"/>
        <w:jc w:val="both"/>
        <w:rPr>
          <w:rFonts w:ascii="Cambria" w:hAnsi="Cambria"/>
          <w:sz w:val="24"/>
          <w:szCs w:val="24"/>
        </w:rPr>
      </w:pPr>
    </w:p>
    <w:p w:rsidR="006329FC" w:rsidRPr="00D620BD" w:rsidRDefault="006329FC" w:rsidP="00D620BD">
      <w:pPr>
        <w:pStyle w:val="ListParagraph"/>
        <w:spacing w:before="0" w:after="0" w:line="360" w:lineRule="auto"/>
        <w:jc w:val="both"/>
        <w:rPr>
          <w:rFonts w:ascii="Cambria" w:hAnsi="Cambria"/>
          <w:sz w:val="24"/>
          <w:szCs w:val="24"/>
        </w:rPr>
      </w:pPr>
    </w:p>
    <w:p w:rsidR="001100BC" w:rsidRPr="00DC7C19" w:rsidRDefault="000B7498" w:rsidP="005628BE">
      <w:pPr>
        <w:pStyle w:val="ListParagraph"/>
        <w:numPr>
          <w:ilvl w:val="0"/>
          <w:numId w:val="33"/>
        </w:numPr>
        <w:spacing w:before="0" w:after="0" w:line="360" w:lineRule="auto"/>
        <w:jc w:val="both"/>
        <w:outlineLvl w:val="1"/>
        <w:rPr>
          <w:rFonts w:ascii="Cambria" w:hAnsi="Cambria"/>
          <w:sz w:val="24"/>
          <w:szCs w:val="24"/>
        </w:rPr>
      </w:pPr>
      <w:bookmarkStart w:id="7" w:name="_Toc445914005"/>
      <w:r w:rsidRPr="00DC7C19">
        <w:rPr>
          <w:rFonts w:ascii="Cambria" w:hAnsi="Cambria"/>
          <w:sz w:val="24"/>
          <w:szCs w:val="24"/>
        </w:rPr>
        <w:t xml:space="preserve">Amendment of </w:t>
      </w:r>
      <w:r w:rsidR="007C14DF" w:rsidRPr="00DC7C19">
        <w:rPr>
          <w:rFonts w:ascii="Cambria" w:hAnsi="Cambria"/>
          <w:sz w:val="24"/>
          <w:szCs w:val="24"/>
        </w:rPr>
        <w:t>Income Tax Rule 6DDA</w:t>
      </w:r>
      <w:r w:rsidRPr="00DC7C19">
        <w:rPr>
          <w:rFonts w:ascii="Cambria" w:hAnsi="Cambria"/>
          <w:sz w:val="24"/>
          <w:szCs w:val="24"/>
        </w:rPr>
        <w:t xml:space="preserve"> with respect to transactions on Stock Exchange</w:t>
      </w:r>
      <w:bookmarkEnd w:id="7"/>
    </w:p>
    <w:p w:rsidR="00DC7C19" w:rsidRDefault="00DC7C19" w:rsidP="00D620BD">
      <w:pPr>
        <w:pStyle w:val="ListParagraph"/>
        <w:spacing w:before="0" w:after="0" w:line="360" w:lineRule="auto"/>
        <w:jc w:val="both"/>
        <w:rPr>
          <w:rFonts w:ascii="Cambria" w:hAnsi="Cambria"/>
          <w:sz w:val="24"/>
          <w:szCs w:val="24"/>
        </w:rPr>
      </w:pPr>
    </w:p>
    <w:p w:rsidR="007C14DF" w:rsidRPr="00D620BD" w:rsidRDefault="007C14DF" w:rsidP="00D620BD">
      <w:pPr>
        <w:pStyle w:val="ListParagraph"/>
        <w:spacing w:before="0" w:after="0" w:line="360" w:lineRule="auto"/>
        <w:jc w:val="both"/>
        <w:rPr>
          <w:rFonts w:ascii="Cambria" w:hAnsi="Cambria"/>
          <w:sz w:val="24"/>
          <w:szCs w:val="24"/>
        </w:rPr>
      </w:pPr>
      <w:r w:rsidRPr="00D620BD">
        <w:rPr>
          <w:rFonts w:ascii="Cambria" w:hAnsi="Cambria"/>
          <w:sz w:val="24"/>
          <w:szCs w:val="24"/>
        </w:rPr>
        <w:t xml:space="preserve">CBDT Notification No. 14/2011 </w:t>
      </w:r>
      <w:r w:rsidR="000B7498" w:rsidRPr="00D620BD">
        <w:rPr>
          <w:rFonts w:ascii="Cambria" w:hAnsi="Cambria"/>
          <w:sz w:val="24"/>
          <w:szCs w:val="24"/>
        </w:rPr>
        <w:t>d</w:t>
      </w:r>
      <w:r w:rsidRPr="00D620BD">
        <w:rPr>
          <w:rFonts w:ascii="Cambria" w:hAnsi="Cambria"/>
          <w:sz w:val="24"/>
          <w:szCs w:val="24"/>
        </w:rPr>
        <w:t>t. 9th March, 2011/F.No.142/25/2008-SO (TPL)</w:t>
      </w:r>
      <w:r w:rsidR="001100BC" w:rsidRPr="00D620BD">
        <w:rPr>
          <w:rFonts w:ascii="Cambria" w:hAnsi="Cambria"/>
          <w:sz w:val="24"/>
          <w:szCs w:val="24"/>
        </w:rPr>
        <w:t xml:space="preserve"> </w:t>
      </w:r>
      <w:r w:rsidR="000B7498" w:rsidRPr="00D620BD">
        <w:rPr>
          <w:rFonts w:ascii="Cambria" w:hAnsi="Cambria"/>
          <w:sz w:val="24"/>
          <w:szCs w:val="24"/>
        </w:rPr>
        <w:t xml:space="preserve">has amended Income-tax Rule 6DDA </w:t>
      </w:r>
      <w:r w:rsidR="001100BC" w:rsidRPr="00D620BD">
        <w:rPr>
          <w:rFonts w:ascii="Cambria" w:hAnsi="Cambria"/>
          <w:sz w:val="24"/>
          <w:szCs w:val="24"/>
        </w:rPr>
        <w:t>effective from 01</w:t>
      </w:r>
      <w:r w:rsidR="001100BC" w:rsidRPr="00D620BD">
        <w:rPr>
          <w:rFonts w:ascii="Cambria" w:hAnsi="Cambria"/>
          <w:sz w:val="24"/>
          <w:szCs w:val="24"/>
          <w:vertAlign w:val="superscript"/>
        </w:rPr>
        <w:t>st</w:t>
      </w:r>
      <w:r w:rsidR="000B7498" w:rsidRPr="00D620BD">
        <w:rPr>
          <w:rFonts w:ascii="Cambria" w:hAnsi="Cambria"/>
          <w:sz w:val="24"/>
          <w:szCs w:val="24"/>
        </w:rPr>
        <w:t xml:space="preserve"> April, 2011 as follows -</w:t>
      </w:r>
    </w:p>
    <w:p w:rsidR="007C14DF" w:rsidRPr="00D620BD" w:rsidRDefault="000B7498" w:rsidP="00C36066">
      <w:pPr>
        <w:pStyle w:val="ListParagraph"/>
        <w:tabs>
          <w:tab w:val="left" w:pos="1276"/>
        </w:tabs>
        <w:spacing w:before="0" w:after="0" w:line="360" w:lineRule="auto"/>
        <w:ind w:left="1276" w:hanging="556"/>
        <w:jc w:val="both"/>
        <w:rPr>
          <w:rFonts w:ascii="Cambria" w:hAnsi="Cambria"/>
          <w:sz w:val="24"/>
          <w:szCs w:val="24"/>
        </w:rPr>
      </w:pPr>
      <w:r w:rsidRPr="00D620BD">
        <w:rPr>
          <w:rFonts w:ascii="Cambria" w:hAnsi="Cambria"/>
          <w:sz w:val="24"/>
          <w:szCs w:val="24"/>
        </w:rPr>
        <w:t>“</w:t>
      </w:r>
      <w:r w:rsidR="007C14DF" w:rsidRPr="00D620BD">
        <w:rPr>
          <w:rFonts w:ascii="Cambria" w:hAnsi="Cambria"/>
          <w:sz w:val="24"/>
          <w:szCs w:val="24"/>
        </w:rPr>
        <w:t>1.</w:t>
      </w:r>
      <w:r w:rsidR="005628BE">
        <w:rPr>
          <w:rFonts w:ascii="Cambria" w:hAnsi="Cambria"/>
          <w:sz w:val="24"/>
          <w:szCs w:val="24"/>
        </w:rPr>
        <w:tab/>
      </w:r>
      <w:r w:rsidR="007C14DF" w:rsidRPr="00D620BD">
        <w:rPr>
          <w:rFonts w:ascii="Cambria" w:hAnsi="Cambria"/>
          <w:sz w:val="24"/>
          <w:szCs w:val="24"/>
        </w:rPr>
        <w:t xml:space="preserve">The Stock Exchange shall ensure that transactions (in respect of cash and derivative market) once registered in the system are not erased; and </w:t>
      </w:r>
    </w:p>
    <w:p w:rsidR="007C14DF" w:rsidRPr="00D620BD" w:rsidRDefault="007C14DF" w:rsidP="00C36066">
      <w:pPr>
        <w:pStyle w:val="ListParagraph"/>
        <w:tabs>
          <w:tab w:val="left" w:pos="1276"/>
        </w:tabs>
        <w:spacing w:before="0" w:after="0" w:line="360" w:lineRule="auto"/>
        <w:ind w:left="1276" w:hanging="556"/>
        <w:jc w:val="both"/>
        <w:rPr>
          <w:rFonts w:ascii="Cambria" w:hAnsi="Cambria"/>
          <w:sz w:val="24"/>
          <w:szCs w:val="24"/>
        </w:rPr>
      </w:pPr>
      <w:r w:rsidRPr="00D620BD">
        <w:rPr>
          <w:rFonts w:ascii="Cambria" w:hAnsi="Cambria"/>
          <w:sz w:val="24"/>
          <w:szCs w:val="24"/>
        </w:rPr>
        <w:t>2.</w:t>
      </w:r>
      <w:r w:rsidR="005628BE">
        <w:rPr>
          <w:rFonts w:ascii="Cambria" w:hAnsi="Cambria"/>
          <w:sz w:val="24"/>
          <w:szCs w:val="24"/>
        </w:rPr>
        <w:tab/>
      </w:r>
      <w:r w:rsidRPr="00D620BD">
        <w:rPr>
          <w:rFonts w:ascii="Cambria" w:hAnsi="Cambria"/>
          <w:sz w:val="24"/>
          <w:szCs w:val="24"/>
        </w:rPr>
        <w:t>The Stock Exchange shall ensure that the transactions (in respect of cash and derivative market) once registered in the system are modified only in cases of genuine error and maintain data regarding all transactions (in respect of cash and derivative market) registered in the system which have been modified and submit a monthly statement in Form No. 3BB to the Director General of Income-tax (Intelligence), New Delhi within fifteen days from the last day of each month to which such statement relates to.</w:t>
      </w:r>
      <w:r w:rsidR="000B7498" w:rsidRPr="00D620BD">
        <w:rPr>
          <w:rFonts w:ascii="Cambria" w:hAnsi="Cambria"/>
          <w:sz w:val="24"/>
          <w:szCs w:val="24"/>
        </w:rPr>
        <w:t>”</w:t>
      </w:r>
    </w:p>
    <w:p w:rsidR="006329FC" w:rsidRDefault="006329FC" w:rsidP="00D620BD">
      <w:pPr>
        <w:pStyle w:val="ListParagraph"/>
        <w:spacing w:before="0" w:after="0" w:line="360" w:lineRule="auto"/>
        <w:jc w:val="both"/>
        <w:rPr>
          <w:rFonts w:ascii="Cambria" w:hAnsi="Cambria"/>
          <w:b/>
          <w:sz w:val="24"/>
          <w:szCs w:val="24"/>
          <w:u w:val="single"/>
        </w:rPr>
      </w:pPr>
    </w:p>
    <w:p w:rsidR="00CB4CF1" w:rsidRDefault="00CB4CF1">
      <w:pPr>
        <w:rPr>
          <w:rFonts w:ascii="Cambria" w:hAnsi="Cambria"/>
          <w:sz w:val="24"/>
          <w:szCs w:val="24"/>
        </w:rPr>
      </w:pPr>
      <w:bookmarkStart w:id="8" w:name="_Toc445914006"/>
      <w:r>
        <w:rPr>
          <w:rFonts w:ascii="Cambria" w:hAnsi="Cambria"/>
          <w:sz w:val="24"/>
          <w:szCs w:val="24"/>
        </w:rPr>
        <w:br w:type="page"/>
      </w:r>
    </w:p>
    <w:p w:rsidR="00D83701" w:rsidRPr="00DC7C19" w:rsidRDefault="00195284" w:rsidP="005628BE">
      <w:pPr>
        <w:pStyle w:val="ListParagraph"/>
        <w:numPr>
          <w:ilvl w:val="0"/>
          <w:numId w:val="33"/>
        </w:numPr>
        <w:spacing w:before="0" w:after="0" w:line="360" w:lineRule="auto"/>
        <w:jc w:val="both"/>
        <w:outlineLvl w:val="1"/>
        <w:rPr>
          <w:rFonts w:ascii="Cambria" w:hAnsi="Cambria"/>
          <w:sz w:val="24"/>
          <w:szCs w:val="24"/>
        </w:rPr>
      </w:pPr>
      <w:r w:rsidRPr="00DC7C19">
        <w:rPr>
          <w:rFonts w:ascii="Cambria" w:hAnsi="Cambria"/>
          <w:sz w:val="24"/>
          <w:szCs w:val="24"/>
        </w:rPr>
        <w:lastRenderedPageBreak/>
        <w:t>Notification of BSE as a recognized Stock Exchange under clause (d) of the proviso to clause (5) of Section 43 of the Income Tax</w:t>
      </w:r>
      <w:bookmarkEnd w:id="8"/>
      <w:r w:rsidRPr="00DC7C19">
        <w:rPr>
          <w:rFonts w:ascii="Cambria" w:hAnsi="Cambria"/>
          <w:sz w:val="24"/>
          <w:szCs w:val="24"/>
        </w:rPr>
        <w:t xml:space="preserve"> </w:t>
      </w:r>
    </w:p>
    <w:p w:rsidR="00DC7C19" w:rsidRDefault="00DC7C19" w:rsidP="00D620BD">
      <w:pPr>
        <w:pStyle w:val="ListParagraph"/>
        <w:spacing w:before="0" w:after="0" w:line="360" w:lineRule="auto"/>
        <w:jc w:val="both"/>
        <w:rPr>
          <w:rFonts w:ascii="Cambria" w:hAnsi="Cambria"/>
          <w:sz w:val="24"/>
          <w:szCs w:val="24"/>
        </w:rPr>
      </w:pPr>
    </w:p>
    <w:p w:rsidR="00D83701" w:rsidRPr="00D620BD" w:rsidRDefault="007C14DF" w:rsidP="00D620BD">
      <w:pPr>
        <w:pStyle w:val="ListParagraph"/>
        <w:spacing w:before="0" w:after="0" w:line="360" w:lineRule="auto"/>
        <w:jc w:val="both"/>
        <w:rPr>
          <w:rFonts w:ascii="Cambria" w:hAnsi="Cambria"/>
          <w:sz w:val="24"/>
          <w:szCs w:val="24"/>
        </w:rPr>
      </w:pPr>
      <w:r w:rsidRPr="00D620BD">
        <w:rPr>
          <w:rFonts w:ascii="Cambria" w:hAnsi="Cambria"/>
          <w:sz w:val="24"/>
          <w:szCs w:val="24"/>
        </w:rPr>
        <w:t xml:space="preserve">Bombay Stock Exchange Ltd., </w:t>
      </w:r>
      <w:r w:rsidR="00295E7C" w:rsidRPr="00D620BD">
        <w:rPr>
          <w:rFonts w:ascii="Cambria" w:hAnsi="Cambria"/>
          <w:sz w:val="24"/>
          <w:szCs w:val="24"/>
        </w:rPr>
        <w:t xml:space="preserve">is notified </w:t>
      </w:r>
      <w:r w:rsidRPr="00D620BD">
        <w:rPr>
          <w:rFonts w:ascii="Cambria" w:hAnsi="Cambria"/>
          <w:sz w:val="24"/>
          <w:szCs w:val="24"/>
        </w:rPr>
        <w:t xml:space="preserve">as a recognised Stock Exchange for the purpose of </w:t>
      </w:r>
      <w:r w:rsidR="00195284" w:rsidRPr="00D620BD">
        <w:rPr>
          <w:rFonts w:ascii="Cambria" w:hAnsi="Cambria"/>
          <w:sz w:val="24"/>
          <w:szCs w:val="24"/>
        </w:rPr>
        <w:t xml:space="preserve"> </w:t>
      </w:r>
      <w:r w:rsidRPr="00D620BD">
        <w:rPr>
          <w:rFonts w:ascii="Cambria" w:hAnsi="Cambria"/>
          <w:sz w:val="24"/>
          <w:szCs w:val="24"/>
        </w:rPr>
        <w:t>clause (d) of proviso to clause (5) of Section 43 of the Income Tax Act, 1961 w.e.f. 25th January 2006. Accordingly, Derivative trades carried out on the Exchange trading platform will not be deemed to be speculative transaction till such time the recognition granted to the Exchange is not withdrawn.</w:t>
      </w:r>
    </w:p>
    <w:p w:rsidR="00654A2C" w:rsidRDefault="00654A2C" w:rsidP="00D620BD">
      <w:pPr>
        <w:pStyle w:val="ListParagraph"/>
        <w:spacing w:before="0" w:after="0" w:line="360" w:lineRule="auto"/>
        <w:jc w:val="both"/>
        <w:rPr>
          <w:rFonts w:ascii="Cambria" w:hAnsi="Cambria"/>
          <w:b/>
          <w:sz w:val="24"/>
          <w:szCs w:val="24"/>
          <w:u w:val="single"/>
        </w:rPr>
      </w:pPr>
    </w:p>
    <w:p w:rsidR="00CB4CF1" w:rsidRDefault="00CB4CF1" w:rsidP="00D620BD">
      <w:pPr>
        <w:spacing w:line="360" w:lineRule="auto"/>
        <w:jc w:val="both"/>
        <w:rPr>
          <w:rFonts w:ascii="Cambria" w:hAnsi="Cambria"/>
          <w:sz w:val="24"/>
          <w:szCs w:val="24"/>
        </w:rPr>
      </w:pPr>
    </w:p>
    <w:p w:rsidR="00D83701" w:rsidRPr="00D620BD" w:rsidRDefault="00D83701" w:rsidP="00D620BD">
      <w:pPr>
        <w:spacing w:line="360" w:lineRule="auto"/>
        <w:jc w:val="both"/>
        <w:rPr>
          <w:rFonts w:ascii="Cambria" w:hAnsi="Cambria"/>
          <w:sz w:val="24"/>
          <w:szCs w:val="24"/>
        </w:rPr>
      </w:pPr>
      <w:r w:rsidRPr="00D620BD">
        <w:rPr>
          <w:rFonts w:ascii="Cambria" w:hAnsi="Cambria"/>
          <w:sz w:val="24"/>
          <w:szCs w:val="24"/>
        </w:rPr>
        <w:br w:type="page"/>
      </w:r>
    </w:p>
    <w:p w:rsidR="009D535E" w:rsidRPr="005628BE" w:rsidRDefault="00AF3C24" w:rsidP="00AF3C24">
      <w:pPr>
        <w:pStyle w:val="Heading1"/>
        <w:ind w:left="709" w:hanging="709"/>
        <w:rPr>
          <w:rFonts w:ascii="Cambria" w:hAnsi="Cambria"/>
          <w:b/>
          <w:sz w:val="24"/>
          <w:szCs w:val="24"/>
        </w:rPr>
      </w:pPr>
      <w:bookmarkStart w:id="9" w:name="_mASTER_CIRCULAR_FOR"/>
      <w:bookmarkStart w:id="10" w:name="_Toc445914007"/>
      <w:bookmarkEnd w:id="9"/>
      <w:r>
        <w:rPr>
          <w:rFonts w:ascii="Cambria" w:hAnsi="Cambria"/>
          <w:b/>
          <w:sz w:val="24"/>
          <w:szCs w:val="24"/>
        </w:rPr>
        <w:lastRenderedPageBreak/>
        <w:t>III.</w:t>
      </w:r>
      <w:r>
        <w:rPr>
          <w:rFonts w:ascii="Cambria" w:hAnsi="Cambria"/>
          <w:b/>
          <w:sz w:val="24"/>
          <w:szCs w:val="24"/>
        </w:rPr>
        <w:tab/>
      </w:r>
      <w:r w:rsidR="00DF1BA2" w:rsidRPr="005628BE">
        <w:rPr>
          <w:rFonts w:ascii="Cambria" w:hAnsi="Cambria"/>
          <w:b/>
          <w:sz w:val="24"/>
          <w:szCs w:val="24"/>
        </w:rPr>
        <w:t>Master Circular for Securities Transaction Tax</w:t>
      </w:r>
      <w:bookmarkEnd w:id="10"/>
    </w:p>
    <w:p w:rsidR="00D22112" w:rsidRPr="00D620BD" w:rsidRDefault="00D22112" w:rsidP="00F525B1">
      <w:pPr>
        <w:pStyle w:val="ListParagraph"/>
        <w:spacing w:before="0" w:after="0" w:line="360" w:lineRule="auto"/>
        <w:jc w:val="both"/>
        <w:rPr>
          <w:rFonts w:ascii="Cambria" w:hAnsi="Cambria"/>
          <w:sz w:val="24"/>
          <w:szCs w:val="24"/>
        </w:rPr>
      </w:pPr>
    </w:p>
    <w:p w:rsidR="002F59AA" w:rsidRPr="00DC7C19" w:rsidRDefault="0079036E" w:rsidP="005628BE">
      <w:pPr>
        <w:pStyle w:val="ListParagraph"/>
        <w:numPr>
          <w:ilvl w:val="0"/>
          <w:numId w:val="34"/>
        </w:numPr>
        <w:spacing w:before="0" w:after="0" w:line="360" w:lineRule="auto"/>
        <w:jc w:val="both"/>
        <w:outlineLvl w:val="1"/>
        <w:rPr>
          <w:rFonts w:ascii="Cambria" w:hAnsi="Cambria"/>
          <w:sz w:val="24"/>
          <w:szCs w:val="24"/>
        </w:rPr>
      </w:pPr>
      <w:bookmarkStart w:id="11" w:name="_Toc445914008"/>
      <w:r w:rsidRPr="00DC7C19">
        <w:rPr>
          <w:rFonts w:ascii="Cambria" w:hAnsi="Cambria"/>
          <w:sz w:val="24"/>
          <w:szCs w:val="24"/>
        </w:rPr>
        <w:t>Securities Transaction Tax (STT)</w:t>
      </w:r>
      <w:r w:rsidR="00AB31F9" w:rsidRPr="00DC7C19">
        <w:rPr>
          <w:rFonts w:ascii="Cambria" w:hAnsi="Cambria"/>
          <w:sz w:val="24"/>
          <w:szCs w:val="24"/>
        </w:rPr>
        <w:t xml:space="preserve"> Rates</w:t>
      </w:r>
      <w:bookmarkEnd w:id="11"/>
      <w:r w:rsidR="00AB31F9" w:rsidRPr="00DC7C19">
        <w:rPr>
          <w:rFonts w:ascii="Cambria" w:hAnsi="Cambria"/>
          <w:sz w:val="24"/>
          <w:szCs w:val="24"/>
        </w:rPr>
        <w:t xml:space="preserve"> </w:t>
      </w:r>
    </w:p>
    <w:p w:rsidR="00DC7C19" w:rsidRDefault="00DC7C19" w:rsidP="00D620BD">
      <w:pPr>
        <w:pStyle w:val="ListParagraph"/>
        <w:spacing w:before="0" w:after="0" w:line="360" w:lineRule="auto"/>
        <w:jc w:val="both"/>
        <w:rPr>
          <w:rFonts w:ascii="Cambria" w:hAnsi="Cambria"/>
          <w:sz w:val="24"/>
          <w:szCs w:val="24"/>
        </w:rPr>
      </w:pPr>
    </w:p>
    <w:p w:rsidR="002F59AA" w:rsidRPr="00D620BD" w:rsidRDefault="002F59AA" w:rsidP="00D620BD">
      <w:pPr>
        <w:pStyle w:val="ListParagraph"/>
        <w:spacing w:before="0" w:after="0" w:line="360" w:lineRule="auto"/>
        <w:jc w:val="both"/>
        <w:rPr>
          <w:rFonts w:ascii="Cambria" w:hAnsi="Cambria"/>
          <w:sz w:val="24"/>
          <w:szCs w:val="24"/>
        </w:rPr>
      </w:pPr>
      <w:r w:rsidRPr="00D620BD">
        <w:rPr>
          <w:rFonts w:ascii="Cambria" w:hAnsi="Cambria"/>
          <w:sz w:val="24"/>
          <w:szCs w:val="24"/>
        </w:rPr>
        <w:t>Securities Transaction Tax (STT) was introduced in Chapter VII of the Finance (No. 2) Act 2004</w:t>
      </w:r>
      <w:r w:rsidR="00AB31F9" w:rsidRPr="00D620BD">
        <w:rPr>
          <w:rFonts w:ascii="Cambria" w:hAnsi="Cambria"/>
          <w:sz w:val="24"/>
          <w:szCs w:val="24"/>
        </w:rPr>
        <w:t>.</w:t>
      </w:r>
      <w:r w:rsidRPr="00D620BD">
        <w:rPr>
          <w:rFonts w:ascii="Cambria" w:hAnsi="Cambria"/>
          <w:sz w:val="24"/>
          <w:szCs w:val="24"/>
        </w:rPr>
        <w:t xml:space="preserve"> </w:t>
      </w:r>
      <w:r w:rsidR="00AB31F9" w:rsidRPr="00D620BD">
        <w:rPr>
          <w:rFonts w:ascii="Cambria" w:hAnsi="Cambria"/>
          <w:sz w:val="24"/>
          <w:szCs w:val="24"/>
        </w:rPr>
        <w:t xml:space="preserve">  The same is chargeable as per the rates given below -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5"/>
        <w:gridCol w:w="4732"/>
        <w:gridCol w:w="1260"/>
        <w:gridCol w:w="1414"/>
        <w:gridCol w:w="1178"/>
      </w:tblGrid>
      <w:tr w:rsidR="00ED2FBA" w:rsidRPr="001753C6" w:rsidTr="00D5720E">
        <w:trPr>
          <w:trHeight w:val="299"/>
          <w:tblHeader/>
        </w:trPr>
        <w:tc>
          <w:tcPr>
            <w:tcW w:w="625" w:type="dxa"/>
            <w:shd w:val="clear" w:color="auto" w:fill="F2F2F2" w:themeFill="background1" w:themeFillShade="F2"/>
            <w:tcMar>
              <w:top w:w="0" w:type="dxa"/>
              <w:left w:w="108" w:type="dxa"/>
              <w:bottom w:w="0" w:type="dxa"/>
              <w:right w:w="108" w:type="dxa"/>
            </w:tcMar>
            <w:hideMark/>
          </w:tcPr>
          <w:p w:rsidR="00AB31F9" w:rsidRPr="001753C6" w:rsidRDefault="00AB31F9" w:rsidP="008464D6">
            <w:pPr>
              <w:spacing w:before="0" w:after="0" w:line="240" w:lineRule="auto"/>
              <w:ind w:left="-51" w:right="-51"/>
              <w:jc w:val="center"/>
              <w:rPr>
                <w:rFonts w:ascii="Cambria" w:eastAsia="Times New Roman" w:hAnsi="Cambria" w:cs="Arial"/>
                <w:color w:val="000000"/>
                <w:sz w:val="22"/>
                <w:lang w:val="en-IN" w:eastAsia="en-IN"/>
              </w:rPr>
            </w:pPr>
            <w:r w:rsidRPr="001753C6">
              <w:rPr>
                <w:rFonts w:ascii="Cambria" w:eastAsia="Times New Roman" w:hAnsi="Cambria" w:cs="Arial"/>
                <w:b/>
                <w:bCs/>
                <w:color w:val="000000"/>
                <w:sz w:val="22"/>
                <w:lang w:val="en-IN" w:eastAsia="en-IN"/>
              </w:rPr>
              <w:t>Sr</w:t>
            </w:r>
            <w:r w:rsidR="00576BA4" w:rsidRPr="001753C6">
              <w:rPr>
                <w:rFonts w:ascii="Cambria" w:eastAsia="Times New Roman" w:hAnsi="Cambria" w:cs="Arial"/>
                <w:b/>
                <w:bCs/>
                <w:color w:val="000000"/>
                <w:sz w:val="22"/>
                <w:lang w:val="en-IN" w:eastAsia="en-IN"/>
              </w:rPr>
              <w:t>.</w:t>
            </w:r>
            <w:r w:rsidRPr="001753C6">
              <w:rPr>
                <w:rFonts w:ascii="Cambria" w:eastAsia="Times New Roman" w:hAnsi="Cambria" w:cs="Arial"/>
                <w:b/>
                <w:bCs/>
                <w:color w:val="000000"/>
                <w:sz w:val="22"/>
                <w:lang w:val="en-IN" w:eastAsia="en-IN"/>
              </w:rPr>
              <w:t xml:space="preserve"> No</w:t>
            </w:r>
            <w:r w:rsidR="00576BA4" w:rsidRPr="001753C6">
              <w:rPr>
                <w:rFonts w:ascii="Cambria" w:eastAsia="Times New Roman" w:hAnsi="Cambria" w:cs="Arial"/>
                <w:b/>
                <w:bCs/>
                <w:color w:val="000000"/>
                <w:sz w:val="22"/>
                <w:lang w:val="en-IN" w:eastAsia="en-IN"/>
              </w:rPr>
              <w:t>.</w:t>
            </w:r>
          </w:p>
        </w:tc>
        <w:tc>
          <w:tcPr>
            <w:tcW w:w="4732" w:type="dxa"/>
            <w:shd w:val="clear" w:color="auto" w:fill="F2F2F2" w:themeFill="background1" w:themeFillShade="F2"/>
            <w:tcMar>
              <w:top w:w="0" w:type="dxa"/>
              <w:left w:w="108" w:type="dxa"/>
              <w:bottom w:w="0" w:type="dxa"/>
              <w:right w:w="108" w:type="dxa"/>
            </w:tcMar>
            <w:hideMark/>
          </w:tcPr>
          <w:p w:rsidR="00AB31F9" w:rsidRPr="001753C6" w:rsidRDefault="00AB31F9" w:rsidP="008464D6">
            <w:pPr>
              <w:spacing w:before="0" w:after="0" w:line="240" w:lineRule="auto"/>
              <w:ind w:left="-51" w:right="-51"/>
              <w:jc w:val="center"/>
              <w:rPr>
                <w:rFonts w:ascii="Cambria" w:eastAsia="Times New Roman" w:hAnsi="Cambria" w:cs="Arial"/>
                <w:color w:val="000000"/>
                <w:sz w:val="22"/>
                <w:lang w:val="en-IN" w:eastAsia="en-IN"/>
              </w:rPr>
            </w:pPr>
            <w:r w:rsidRPr="001753C6">
              <w:rPr>
                <w:rFonts w:ascii="Cambria" w:eastAsia="Times New Roman" w:hAnsi="Cambria" w:cs="Arial"/>
                <w:b/>
                <w:bCs/>
                <w:color w:val="000000"/>
                <w:sz w:val="22"/>
                <w:lang w:val="en-IN" w:eastAsia="en-IN"/>
              </w:rPr>
              <w:t>Taxable Securities Transactions</w:t>
            </w:r>
          </w:p>
        </w:tc>
        <w:tc>
          <w:tcPr>
            <w:tcW w:w="1260" w:type="dxa"/>
            <w:shd w:val="clear" w:color="auto" w:fill="F2F2F2" w:themeFill="background1" w:themeFillShade="F2"/>
            <w:tcMar>
              <w:top w:w="0" w:type="dxa"/>
              <w:left w:w="108" w:type="dxa"/>
              <w:bottom w:w="0" w:type="dxa"/>
              <w:right w:w="108" w:type="dxa"/>
            </w:tcMar>
            <w:hideMark/>
          </w:tcPr>
          <w:p w:rsidR="00AB31F9" w:rsidRPr="001753C6" w:rsidRDefault="00AB31F9" w:rsidP="008464D6">
            <w:pPr>
              <w:spacing w:before="0" w:after="0" w:line="240" w:lineRule="auto"/>
              <w:ind w:left="-51" w:right="-51"/>
              <w:jc w:val="center"/>
              <w:rPr>
                <w:rFonts w:ascii="Cambria" w:eastAsia="Times New Roman" w:hAnsi="Cambria" w:cs="Arial"/>
                <w:color w:val="000000"/>
                <w:sz w:val="22"/>
                <w:lang w:val="en-IN" w:eastAsia="en-IN"/>
              </w:rPr>
            </w:pPr>
            <w:r w:rsidRPr="001753C6">
              <w:rPr>
                <w:rFonts w:ascii="Cambria" w:eastAsia="Times New Roman" w:hAnsi="Cambria" w:cs="Arial"/>
                <w:b/>
                <w:bCs/>
                <w:color w:val="000000"/>
                <w:sz w:val="22"/>
                <w:lang w:val="en-IN" w:eastAsia="en-IN"/>
              </w:rPr>
              <w:t xml:space="preserve">Effective till </w:t>
            </w:r>
            <w:r w:rsidR="00D5720E">
              <w:rPr>
                <w:rFonts w:ascii="Cambria" w:eastAsia="Times New Roman" w:hAnsi="Cambria" w:cs="Arial"/>
                <w:b/>
                <w:bCs/>
                <w:color w:val="000000"/>
                <w:sz w:val="22"/>
                <w:lang w:val="en-IN" w:eastAsia="en-IN"/>
              </w:rPr>
              <w:t>31.05.16</w:t>
            </w:r>
          </w:p>
        </w:tc>
        <w:tc>
          <w:tcPr>
            <w:tcW w:w="1414" w:type="dxa"/>
            <w:shd w:val="clear" w:color="auto" w:fill="F2F2F2" w:themeFill="background1" w:themeFillShade="F2"/>
            <w:tcMar>
              <w:top w:w="0" w:type="dxa"/>
              <w:left w:w="108" w:type="dxa"/>
              <w:bottom w:w="0" w:type="dxa"/>
              <w:right w:w="108" w:type="dxa"/>
            </w:tcMar>
            <w:hideMark/>
          </w:tcPr>
          <w:p w:rsidR="00AB31F9" w:rsidRPr="001753C6" w:rsidRDefault="00AB31F9" w:rsidP="008464D6">
            <w:pPr>
              <w:spacing w:before="0" w:after="0" w:line="240" w:lineRule="auto"/>
              <w:ind w:left="-51" w:right="-51"/>
              <w:jc w:val="center"/>
              <w:rPr>
                <w:rFonts w:ascii="Cambria" w:eastAsia="Times New Roman" w:hAnsi="Cambria" w:cs="Arial"/>
                <w:color w:val="000000"/>
                <w:sz w:val="22"/>
                <w:lang w:val="en-IN" w:eastAsia="en-IN"/>
              </w:rPr>
            </w:pPr>
            <w:r w:rsidRPr="001753C6">
              <w:rPr>
                <w:rFonts w:ascii="Cambria" w:eastAsia="Times New Roman" w:hAnsi="Cambria" w:cs="Arial"/>
                <w:b/>
                <w:bCs/>
                <w:color w:val="000000"/>
                <w:sz w:val="22"/>
                <w:lang w:val="en-IN" w:eastAsia="en-IN"/>
              </w:rPr>
              <w:t>Effective</w:t>
            </w:r>
            <w:r w:rsidR="00F525B1" w:rsidRPr="001753C6">
              <w:rPr>
                <w:rFonts w:ascii="Cambria" w:eastAsia="Times New Roman" w:hAnsi="Cambria" w:cs="Arial"/>
                <w:b/>
                <w:bCs/>
                <w:color w:val="000000"/>
                <w:sz w:val="22"/>
                <w:lang w:val="en-IN" w:eastAsia="en-IN"/>
              </w:rPr>
              <w:t xml:space="preserve"> from 01.06.16</w:t>
            </w:r>
            <w:r w:rsidR="008464D6" w:rsidRPr="001753C6">
              <w:rPr>
                <w:rFonts w:ascii="Cambria" w:eastAsia="Times New Roman" w:hAnsi="Cambria" w:cs="Arial"/>
                <w:b/>
                <w:bCs/>
                <w:color w:val="000000"/>
                <w:sz w:val="22"/>
                <w:lang w:val="en-IN" w:eastAsia="en-IN"/>
              </w:rPr>
              <w:t xml:space="preserve"> </w:t>
            </w:r>
          </w:p>
        </w:tc>
        <w:tc>
          <w:tcPr>
            <w:tcW w:w="1178" w:type="dxa"/>
            <w:shd w:val="clear" w:color="auto" w:fill="F2F2F2" w:themeFill="background1" w:themeFillShade="F2"/>
            <w:tcMar>
              <w:top w:w="0" w:type="dxa"/>
              <w:left w:w="108" w:type="dxa"/>
              <w:bottom w:w="0" w:type="dxa"/>
              <w:right w:w="108" w:type="dxa"/>
            </w:tcMar>
            <w:hideMark/>
          </w:tcPr>
          <w:p w:rsidR="00AB31F9" w:rsidRPr="001753C6" w:rsidRDefault="00AB31F9" w:rsidP="008464D6">
            <w:pPr>
              <w:spacing w:before="0" w:after="0" w:line="240" w:lineRule="auto"/>
              <w:ind w:left="-51" w:right="-51"/>
              <w:jc w:val="center"/>
              <w:rPr>
                <w:rFonts w:ascii="Cambria" w:eastAsia="Times New Roman" w:hAnsi="Cambria" w:cs="Arial"/>
                <w:color w:val="000000"/>
                <w:sz w:val="22"/>
                <w:lang w:val="en-IN" w:eastAsia="en-IN"/>
              </w:rPr>
            </w:pPr>
            <w:r w:rsidRPr="001753C6">
              <w:rPr>
                <w:rFonts w:ascii="Cambria" w:eastAsia="Times New Roman" w:hAnsi="Cambria" w:cs="Arial"/>
                <w:b/>
                <w:bCs/>
                <w:color w:val="000000"/>
                <w:sz w:val="22"/>
                <w:lang w:val="en-IN" w:eastAsia="en-IN"/>
              </w:rPr>
              <w:t>Payable by</w:t>
            </w:r>
          </w:p>
        </w:tc>
      </w:tr>
      <w:tr w:rsidR="00ED2FBA" w:rsidRPr="001753C6" w:rsidTr="00D5720E">
        <w:trPr>
          <w:trHeight w:val="444"/>
        </w:trPr>
        <w:tc>
          <w:tcPr>
            <w:tcW w:w="625"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1.</w:t>
            </w:r>
          </w:p>
        </w:tc>
        <w:tc>
          <w:tcPr>
            <w:tcW w:w="4732"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Purchase of an equity share in a company, where –</w:t>
            </w:r>
          </w:p>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(a) the transaction of such purchase is entered into in a recognised stock exchange; and</w:t>
            </w:r>
          </w:p>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(b) the contract for the purchase of such share is settled by the actual delivery or transfer of such share.</w:t>
            </w:r>
          </w:p>
        </w:tc>
        <w:tc>
          <w:tcPr>
            <w:tcW w:w="1260"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0.1%</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414"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0.1%</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178"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Purchaser</w:t>
            </w:r>
          </w:p>
        </w:tc>
      </w:tr>
      <w:tr w:rsidR="00ED2FBA" w:rsidRPr="001753C6" w:rsidTr="00D5720E">
        <w:trPr>
          <w:trHeight w:val="897"/>
        </w:trPr>
        <w:tc>
          <w:tcPr>
            <w:tcW w:w="625" w:type="dxa"/>
            <w:shd w:val="clear" w:color="auto" w:fill="auto"/>
            <w:tcMar>
              <w:top w:w="0" w:type="dxa"/>
              <w:left w:w="108" w:type="dxa"/>
              <w:bottom w:w="0" w:type="dxa"/>
              <w:right w:w="108" w:type="dxa"/>
            </w:tcMar>
            <w:hideMark/>
          </w:tcPr>
          <w:p w:rsidR="00ED2FBA" w:rsidRPr="001753C6" w:rsidRDefault="00ED2FBA" w:rsidP="00576BA4">
            <w:pPr>
              <w:spacing w:before="0" w:after="0" w:line="360" w:lineRule="auto"/>
              <w:jc w:val="right"/>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1.A</w:t>
            </w:r>
          </w:p>
        </w:tc>
        <w:tc>
          <w:tcPr>
            <w:tcW w:w="4732" w:type="dxa"/>
            <w:shd w:val="clear" w:color="auto" w:fill="auto"/>
            <w:tcMar>
              <w:top w:w="0" w:type="dxa"/>
              <w:left w:w="108" w:type="dxa"/>
              <w:bottom w:w="0" w:type="dxa"/>
              <w:right w:w="108" w:type="dxa"/>
            </w:tcMar>
            <w:hideMark/>
          </w:tcPr>
          <w:p w:rsidR="00ED2FBA" w:rsidRPr="001753C6" w:rsidRDefault="00ED2FBA" w:rsidP="00D620BD">
            <w:pPr>
              <w:spacing w:before="60" w:after="6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Purchase of an unit of an equity oriented fund, where -</w:t>
            </w:r>
          </w:p>
          <w:p w:rsidR="00ED2FBA" w:rsidRPr="001753C6" w:rsidRDefault="00ED2FBA" w:rsidP="00D620BD">
            <w:pPr>
              <w:spacing w:before="60" w:after="6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(a) the transaction of such purchase is entered into in a recognised stock exchange; and</w:t>
            </w:r>
          </w:p>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(b) the contract for the purchase of such unit is settled by the actual delivery or transfer of such unit.</w:t>
            </w:r>
          </w:p>
        </w:tc>
        <w:tc>
          <w:tcPr>
            <w:tcW w:w="1260"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bCs/>
                <w:color w:val="000000"/>
                <w:sz w:val="22"/>
                <w:lang w:val="en-IN" w:eastAsia="en-IN"/>
              </w:rPr>
              <w:t>NIL</w:t>
            </w:r>
          </w:p>
        </w:tc>
        <w:tc>
          <w:tcPr>
            <w:tcW w:w="1414"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bCs/>
                <w:color w:val="000000"/>
                <w:sz w:val="22"/>
                <w:lang w:val="en-IN" w:eastAsia="en-IN"/>
              </w:rPr>
            </w:pPr>
            <w:r w:rsidRPr="001753C6">
              <w:rPr>
                <w:rFonts w:ascii="Cambria" w:eastAsia="Times New Roman" w:hAnsi="Cambria" w:cs="Arial"/>
                <w:bCs/>
                <w:color w:val="000000"/>
                <w:sz w:val="22"/>
                <w:lang w:val="en-IN" w:eastAsia="en-IN"/>
              </w:rPr>
              <w:t>NIL</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178"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w:t>
            </w:r>
          </w:p>
        </w:tc>
      </w:tr>
      <w:tr w:rsidR="00ED2FBA" w:rsidRPr="001753C6" w:rsidTr="00D5720E">
        <w:trPr>
          <w:trHeight w:val="897"/>
        </w:trPr>
        <w:tc>
          <w:tcPr>
            <w:tcW w:w="625"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2.</w:t>
            </w:r>
          </w:p>
        </w:tc>
        <w:tc>
          <w:tcPr>
            <w:tcW w:w="4732"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Sale of an equity share in a company, where -</w:t>
            </w:r>
          </w:p>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(a) the transaction of such sale is entered into in recognised stock exchange; and</w:t>
            </w:r>
          </w:p>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(b) the contract for the sale of such share is settled by the actual delivery or transfer of such share.</w:t>
            </w:r>
          </w:p>
        </w:tc>
        <w:tc>
          <w:tcPr>
            <w:tcW w:w="1260"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0.1%</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414"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0.1%</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178"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Seller</w:t>
            </w:r>
          </w:p>
        </w:tc>
      </w:tr>
      <w:tr w:rsidR="00ED2FBA" w:rsidRPr="001753C6" w:rsidTr="00D5720E">
        <w:trPr>
          <w:trHeight w:val="865"/>
        </w:trPr>
        <w:tc>
          <w:tcPr>
            <w:tcW w:w="625" w:type="dxa"/>
            <w:shd w:val="clear" w:color="auto" w:fill="auto"/>
            <w:tcMar>
              <w:top w:w="0" w:type="dxa"/>
              <w:left w:w="108" w:type="dxa"/>
              <w:bottom w:w="0" w:type="dxa"/>
              <w:right w:w="108" w:type="dxa"/>
            </w:tcMar>
            <w:hideMark/>
          </w:tcPr>
          <w:p w:rsidR="00ED2FBA" w:rsidRPr="001753C6" w:rsidRDefault="00ED2FBA" w:rsidP="00576BA4">
            <w:pPr>
              <w:spacing w:before="0" w:after="0" w:line="360" w:lineRule="auto"/>
              <w:jc w:val="right"/>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2A.</w:t>
            </w:r>
          </w:p>
        </w:tc>
        <w:tc>
          <w:tcPr>
            <w:tcW w:w="4732" w:type="dxa"/>
            <w:shd w:val="clear" w:color="auto" w:fill="auto"/>
            <w:tcMar>
              <w:top w:w="0" w:type="dxa"/>
              <w:left w:w="108" w:type="dxa"/>
              <w:bottom w:w="0" w:type="dxa"/>
              <w:right w:w="108" w:type="dxa"/>
            </w:tcMar>
            <w:hideMark/>
          </w:tcPr>
          <w:p w:rsidR="00ED2FBA" w:rsidRPr="001753C6" w:rsidRDefault="00ED2FBA" w:rsidP="00D620BD">
            <w:pPr>
              <w:spacing w:before="60" w:after="6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Sale of an unit of an equity oriented fund, where -</w:t>
            </w:r>
          </w:p>
          <w:p w:rsidR="00ED2FBA" w:rsidRPr="001753C6" w:rsidRDefault="00ED2FBA" w:rsidP="00D620BD">
            <w:pPr>
              <w:spacing w:before="60" w:after="6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(a) the transaction of such sale is entered into in a recognised stock exchange; and</w:t>
            </w:r>
          </w:p>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lastRenderedPageBreak/>
              <w:t>(b) the contract for the sale of such unit is settled by the actual delivery or transfer of such unit.</w:t>
            </w:r>
          </w:p>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 </w:t>
            </w:r>
          </w:p>
        </w:tc>
        <w:tc>
          <w:tcPr>
            <w:tcW w:w="1260"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bCs/>
                <w:color w:val="000000"/>
                <w:sz w:val="22"/>
                <w:lang w:val="en-IN" w:eastAsia="en-IN"/>
              </w:rPr>
              <w:lastRenderedPageBreak/>
              <w:t>0.001%</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 </w:t>
            </w:r>
          </w:p>
        </w:tc>
        <w:tc>
          <w:tcPr>
            <w:tcW w:w="1414"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bCs/>
                <w:color w:val="000000"/>
                <w:sz w:val="22"/>
                <w:lang w:val="en-IN" w:eastAsia="en-IN"/>
              </w:rPr>
              <w:t>0.001%</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178" w:type="dxa"/>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Seller</w:t>
            </w:r>
          </w:p>
        </w:tc>
      </w:tr>
      <w:tr w:rsidR="00ED2FBA" w:rsidRPr="001753C6" w:rsidTr="00D5720E">
        <w:trPr>
          <w:trHeight w:val="1124"/>
        </w:trPr>
        <w:tc>
          <w:tcPr>
            <w:tcW w:w="625" w:type="dxa"/>
            <w:tcBorders>
              <w:bottom w:val="single" w:sz="4" w:space="0" w:color="auto"/>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3.</w:t>
            </w:r>
          </w:p>
        </w:tc>
        <w:tc>
          <w:tcPr>
            <w:tcW w:w="4732" w:type="dxa"/>
            <w:tcBorders>
              <w:bottom w:val="single" w:sz="4" w:space="0" w:color="auto"/>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Sale of an equity share in a company or a unit of an equity oriented fund, where --</w:t>
            </w:r>
          </w:p>
          <w:p w:rsidR="00ED2FBA" w:rsidRPr="001753C6" w:rsidRDefault="00ED2FBA" w:rsidP="00D620BD">
            <w:pPr>
              <w:spacing w:before="0" w:after="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(a) the transaction of such sale is entered into in a recognised stock exchange; and</w:t>
            </w:r>
          </w:p>
          <w:p w:rsidR="00ED2FBA" w:rsidRPr="001753C6" w:rsidRDefault="00ED2FBA" w:rsidP="00D620BD">
            <w:pPr>
              <w:spacing w:before="60" w:after="60" w:line="360" w:lineRule="auto"/>
              <w:jc w:val="both"/>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(b) the contract for the sale of such share or unit is settled otherwise than by the actual delivery or transfer of such share or unit.</w:t>
            </w:r>
          </w:p>
        </w:tc>
        <w:tc>
          <w:tcPr>
            <w:tcW w:w="1260" w:type="dxa"/>
            <w:tcBorders>
              <w:bottom w:val="single" w:sz="4" w:space="0" w:color="auto"/>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0.025%</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414" w:type="dxa"/>
            <w:tcBorders>
              <w:bottom w:val="single" w:sz="4" w:space="0" w:color="auto"/>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0.025%</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178" w:type="dxa"/>
            <w:tcBorders>
              <w:bottom w:val="single" w:sz="4" w:space="0" w:color="auto"/>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Seller</w:t>
            </w:r>
          </w:p>
        </w:tc>
      </w:tr>
      <w:tr w:rsidR="00ED2FBA" w:rsidRPr="001753C6" w:rsidTr="00D5720E">
        <w:trPr>
          <w:trHeight w:val="419"/>
        </w:trPr>
        <w:tc>
          <w:tcPr>
            <w:tcW w:w="625" w:type="dxa"/>
            <w:tcBorders>
              <w:bottom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4.</w:t>
            </w:r>
          </w:p>
        </w:tc>
        <w:tc>
          <w:tcPr>
            <w:tcW w:w="4732" w:type="dxa"/>
            <w:tcBorders>
              <w:bottom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(a) Sale of an option in securities.</w:t>
            </w:r>
          </w:p>
        </w:tc>
        <w:tc>
          <w:tcPr>
            <w:tcW w:w="1260" w:type="dxa"/>
            <w:tcBorders>
              <w:bottom w:val="nil"/>
            </w:tcBorders>
            <w:shd w:val="clear" w:color="auto" w:fill="auto"/>
            <w:tcMar>
              <w:top w:w="0" w:type="dxa"/>
              <w:left w:w="108" w:type="dxa"/>
              <w:bottom w:w="0" w:type="dxa"/>
              <w:right w:w="108" w:type="dxa"/>
            </w:tcMar>
            <w:hideMark/>
          </w:tcPr>
          <w:p w:rsidR="00ED2FBA" w:rsidRPr="001753C6" w:rsidRDefault="00ED2FBA" w:rsidP="00576BA4">
            <w:pPr>
              <w:spacing w:before="0" w:after="0" w:line="360" w:lineRule="auto"/>
              <w:jc w:val="center"/>
              <w:rPr>
                <w:rFonts w:ascii="Cambria" w:eastAsia="Times New Roman" w:hAnsi="Cambria" w:cs="Arial"/>
                <w:b/>
                <w:color w:val="000000"/>
                <w:sz w:val="22"/>
                <w:lang w:val="en-IN" w:eastAsia="en-IN"/>
              </w:rPr>
            </w:pPr>
            <w:r w:rsidRPr="001753C6">
              <w:rPr>
                <w:rFonts w:ascii="Cambria" w:eastAsia="Times New Roman" w:hAnsi="Cambria" w:cs="Arial"/>
                <w:b/>
                <w:color w:val="000000"/>
                <w:sz w:val="22"/>
                <w:lang w:val="en-IN" w:eastAsia="en-IN"/>
              </w:rPr>
              <w:t>0.017%</w:t>
            </w:r>
          </w:p>
        </w:tc>
        <w:tc>
          <w:tcPr>
            <w:tcW w:w="1414" w:type="dxa"/>
            <w:tcBorders>
              <w:bottom w:val="nil"/>
            </w:tcBorders>
            <w:shd w:val="clear" w:color="auto" w:fill="auto"/>
            <w:tcMar>
              <w:top w:w="0" w:type="dxa"/>
              <w:left w:w="108" w:type="dxa"/>
              <w:bottom w:w="0" w:type="dxa"/>
              <w:right w:w="108" w:type="dxa"/>
            </w:tcMar>
            <w:hideMark/>
          </w:tcPr>
          <w:p w:rsidR="00ED2FBA" w:rsidRPr="001753C6" w:rsidRDefault="00ED2FBA" w:rsidP="00576BA4">
            <w:pPr>
              <w:spacing w:before="0" w:after="0" w:line="360" w:lineRule="auto"/>
              <w:jc w:val="center"/>
              <w:rPr>
                <w:rFonts w:ascii="Cambria" w:eastAsia="Times New Roman" w:hAnsi="Cambria" w:cs="Arial"/>
                <w:b/>
                <w:color w:val="000000"/>
                <w:sz w:val="22"/>
                <w:lang w:val="en-IN" w:eastAsia="en-IN"/>
              </w:rPr>
            </w:pPr>
            <w:r w:rsidRPr="001753C6">
              <w:rPr>
                <w:rFonts w:ascii="Cambria" w:eastAsia="Times New Roman" w:hAnsi="Cambria" w:cs="Arial"/>
                <w:b/>
                <w:color w:val="000000"/>
                <w:sz w:val="22"/>
                <w:lang w:val="en-IN" w:eastAsia="en-IN"/>
              </w:rPr>
              <w:t>0.050%</w:t>
            </w:r>
          </w:p>
        </w:tc>
        <w:tc>
          <w:tcPr>
            <w:tcW w:w="1178" w:type="dxa"/>
            <w:tcBorders>
              <w:bottom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Seller</w:t>
            </w:r>
          </w:p>
        </w:tc>
      </w:tr>
      <w:tr w:rsidR="00ED2FBA" w:rsidRPr="001753C6" w:rsidTr="00D5720E">
        <w:trPr>
          <w:trHeight w:val="553"/>
        </w:trPr>
        <w:tc>
          <w:tcPr>
            <w:tcW w:w="625" w:type="dxa"/>
            <w:tcBorders>
              <w:top w:val="nil"/>
              <w:bottom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 </w:t>
            </w:r>
          </w:p>
        </w:tc>
        <w:tc>
          <w:tcPr>
            <w:tcW w:w="4732" w:type="dxa"/>
            <w:tcBorders>
              <w:top w:val="nil"/>
              <w:bottom w:val="nil"/>
            </w:tcBorders>
            <w:shd w:val="clear" w:color="auto" w:fill="auto"/>
            <w:tcMar>
              <w:top w:w="0" w:type="dxa"/>
              <w:left w:w="108" w:type="dxa"/>
              <w:bottom w:w="0" w:type="dxa"/>
              <w:right w:w="108" w:type="dxa"/>
            </w:tcMar>
            <w:hideMark/>
          </w:tcPr>
          <w:p w:rsidR="00ED2FBA" w:rsidRPr="001753C6" w:rsidRDefault="00ED2FBA" w:rsidP="00576BA4">
            <w:pPr>
              <w:spacing w:before="0" w:after="0" w:line="360" w:lineRule="auto"/>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 (b) Sale of an option in securities where option is exercised.</w:t>
            </w:r>
          </w:p>
        </w:tc>
        <w:tc>
          <w:tcPr>
            <w:tcW w:w="1260" w:type="dxa"/>
            <w:tcBorders>
              <w:top w:val="nil"/>
              <w:bottom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0.125%</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414" w:type="dxa"/>
            <w:tcBorders>
              <w:top w:val="nil"/>
              <w:bottom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0.125%</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178" w:type="dxa"/>
            <w:tcBorders>
              <w:top w:val="nil"/>
              <w:bottom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Purchaser</w:t>
            </w:r>
          </w:p>
        </w:tc>
      </w:tr>
      <w:tr w:rsidR="00ED2FBA" w:rsidRPr="001753C6" w:rsidTr="00D5720E">
        <w:trPr>
          <w:trHeight w:val="1124"/>
        </w:trPr>
        <w:tc>
          <w:tcPr>
            <w:tcW w:w="625" w:type="dxa"/>
            <w:tcBorders>
              <w:top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 </w:t>
            </w:r>
          </w:p>
        </w:tc>
        <w:tc>
          <w:tcPr>
            <w:tcW w:w="4732" w:type="dxa"/>
            <w:tcBorders>
              <w:top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 (c) Sale of a futures in securities.</w:t>
            </w:r>
          </w:p>
        </w:tc>
        <w:tc>
          <w:tcPr>
            <w:tcW w:w="1260" w:type="dxa"/>
            <w:tcBorders>
              <w:top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bCs/>
                <w:color w:val="000000"/>
                <w:sz w:val="22"/>
                <w:lang w:val="en-IN" w:eastAsia="en-IN"/>
              </w:rPr>
              <w:t>0.01%</w:t>
            </w:r>
          </w:p>
        </w:tc>
        <w:tc>
          <w:tcPr>
            <w:tcW w:w="1414" w:type="dxa"/>
            <w:tcBorders>
              <w:top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bCs/>
                <w:color w:val="000000"/>
                <w:sz w:val="22"/>
                <w:lang w:val="en-IN" w:eastAsia="en-IN"/>
              </w:rPr>
            </w:pPr>
            <w:r w:rsidRPr="001753C6">
              <w:rPr>
                <w:rFonts w:ascii="Cambria" w:eastAsia="Times New Roman" w:hAnsi="Cambria" w:cs="Arial"/>
                <w:bCs/>
                <w:color w:val="000000"/>
                <w:sz w:val="22"/>
                <w:lang w:val="en-IN" w:eastAsia="en-IN"/>
              </w:rPr>
              <w:t>0.01%</w:t>
            </w:r>
          </w:p>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p>
        </w:tc>
        <w:tc>
          <w:tcPr>
            <w:tcW w:w="1178" w:type="dxa"/>
            <w:tcBorders>
              <w:top w:val="nil"/>
            </w:tcBorders>
            <w:shd w:val="clear" w:color="auto" w:fill="auto"/>
            <w:tcMar>
              <w:top w:w="0" w:type="dxa"/>
              <w:left w:w="108" w:type="dxa"/>
              <w:bottom w:w="0" w:type="dxa"/>
              <w:right w:w="108" w:type="dxa"/>
            </w:tcMar>
            <w:hideMark/>
          </w:tcPr>
          <w:p w:rsidR="00ED2FBA" w:rsidRPr="001753C6" w:rsidRDefault="00ED2FBA" w:rsidP="00D620BD">
            <w:pPr>
              <w:spacing w:before="0" w:after="0" w:line="360" w:lineRule="auto"/>
              <w:jc w:val="center"/>
              <w:rPr>
                <w:rFonts w:ascii="Cambria" w:eastAsia="Times New Roman" w:hAnsi="Cambria" w:cs="Arial"/>
                <w:color w:val="000000"/>
                <w:sz w:val="22"/>
                <w:lang w:val="en-IN" w:eastAsia="en-IN"/>
              </w:rPr>
            </w:pPr>
            <w:r w:rsidRPr="001753C6">
              <w:rPr>
                <w:rFonts w:ascii="Cambria" w:eastAsia="Times New Roman" w:hAnsi="Cambria" w:cs="Arial"/>
                <w:color w:val="000000"/>
                <w:sz w:val="22"/>
                <w:lang w:val="en-IN" w:eastAsia="en-IN"/>
              </w:rPr>
              <w:t>Seller</w:t>
            </w:r>
          </w:p>
        </w:tc>
      </w:tr>
    </w:tbl>
    <w:p w:rsidR="004C4B34" w:rsidRPr="00D620BD" w:rsidRDefault="004C4B34" w:rsidP="00D620BD">
      <w:pPr>
        <w:pStyle w:val="ListParagraph"/>
        <w:spacing w:before="0" w:after="0" w:line="360" w:lineRule="auto"/>
        <w:jc w:val="both"/>
        <w:rPr>
          <w:rFonts w:ascii="Cambria" w:hAnsi="Cambria"/>
          <w:sz w:val="24"/>
          <w:szCs w:val="24"/>
        </w:rPr>
      </w:pPr>
    </w:p>
    <w:p w:rsidR="004C4B34" w:rsidRPr="009033A1" w:rsidRDefault="004C4B34" w:rsidP="00576BA4">
      <w:pPr>
        <w:pStyle w:val="ListParagraph"/>
        <w:numPr>
          <w:ilvl w:val="0"/>
          <w:numId w:val="34"/>
        </w:numPr>
        <w:spacing w:before="0" w:after="0" w:line="360" w:lineRule="auto"/>
        <w:jc w:val="both"/>
        <w:outlineLvl w:val="1"/>
        <w:rPr>
          <w:rStyle w:val="Hyperlink"/>
          <w:rFonts w:ascii="Cambria" w:hAnsi="Cambria"/>
          <w:color w:val="auto"/>
          <w:sz w:val="24"/>
          <w:szCs w:val="24"/>
          <w:u w:val="none"/>
        </w:rPr>
      </w:pPr>
      <w:bookmarkStart w:id="12" w:name="_Toc445914009"/>
      <w:r w:rsidRPr="009033A1">
        <w:rPr>
          <w:rStyle w:val="Hyperlink"/>
          <w:rFonts w:ascii="Cambria" w:hAnsi="Cambria"/>
          <w:color w:val="auto"/>
          <w:sz w:val="24"/>
          <w:szCs w:val="24"/>
          <w:u w:val="none"/>
        </w:rPr>
        <w:t xml:space="preserve">STT </w:t>
      </w:r>
      <w:r w:rsidR="00ED2FBA" w:rsidRPr="009033A1">
        <w:rPr>
          <w:rStyle w:val="Hyperlink"/>
          <w:rFonts w:ascii="Cambria" w:hAnsi="Cambria"/>
          <w:color w:val="auto"/>
          <w:sz w:val="24"/>
          <w:szCs w:val="24"/>
          <w:u w:val="none"/>
        </w:rPr>
        <w:t>on Institutional Transactions</w:t>
      </w:r>
      <w:bookmarkEnd w:id="12"/>
      <w:r w:rsidR="00ED2FBA" w:rsidRPr="009033A1">
        <w:rPr>
          <w:rStyle w:val="Hyperlink"/>
          <w:rFonts w:ascii="Cambria" w:hAnsi="Cambria"/>
          <w:color w:val="auto"/>
          <w:sz w:val="24"/>
          <w:szCs w:val="24"/>
          <w:u w:val="none"/>
        </w:rPr>
        <w:t xml:space="preserve"> </w:t>
      </w:r>
    </w:p>
    <w:p w:rsidR="009033A1" w:rsidRDefault="009033A1" w:rsidP="00D620BD">
      <w:pPr>
        <w:pStyle w:val="ListParagraph"/>
        <w:spacing w:before="0" w:after="0" w:line="360" w:lineRule="auto"/>
        <w:jc w:val="both"/>
        <w:rPr>
          <w:rStyle w:val="Hyperlink"/>
          <w:rFonts w:ascii="Cambria" w:hAnsi="Cambria"/>
          <w:color w:val="auto"/>
          <w:sz w:val="24"/>
          <w:szCs w:val="24"/>
          <w:u w:val="none"/>
        </w:rPr>
      </w:pPr>
    </w:p>
    <w:p w:rsidR="006E2417" w:rsidRPr="00D620BD" w:rsidRDefault="00ED2FBA" w:rsidP="00D620BD">
      <w:pPr>
        <w:pStyle w:val="ListParagraph"/>
        <w:spacing w:before="0" w:after="0" w:line="360" w:lineRule="auto"/>
        <w:jc w:val="both"/>
        <w:rPr>
          <w:rStyle w:val="Hyperlink"/>
          <w:rFonts w:ascii="Cambria" w:hAnsi="Cambria"/>
          <w:color w:val="auto"/>
          <w:sz w:val="24"/>
          <w:szCs w:val="24"/>
          <w:u w:val="none"/>
        </w:rPr>
      </w:pPr>
      <w:r w:rsidRPr="00D620BD">
        <w:rPr>
          <w:rStyle w:val="Hyperlink"/>
          <w:rFonts w:ascii="Cambria" w:hAnsi="Cambria"/>
          <w:color w:val="auto"/>
          <w:sz w:val="24"/>
          <w:szCs w:val="24"/>
          <w:u w:val="none"/>
        </w:rPr>
        <w:t>A</w:t>
      </w:r>
      <w:r w:rsidR="004C4B34" w:rsidRPr="00D620BD">
        <w:rPr>
          <w:rStyle w:val="Hyperlink"/>
          <w:rFonts w:ascii="Cambria" w:hAnsi="Cambria"/>
          <w:color w:val="auto"/>
          <w:sz w:val="24"/>
          <w:szCs w:val="24"/>
          <w:u w:val="none"/>
        </w:rPr>
        <w:t>ll institutional Buy and Sell transactions are treated separately for the calculation of STT and all these transactions are treated as delivery based transactions.  No netting of institutional transactions is allowed for the calculation of STT and the STT applicable on delivery based transactions is being levied on such transactions.</w:t>
      </w:r>
    </w:p>
    <w:p w:rsidR="00ED2FBA" w:rsidRPr="00D620BD" w:rsidRDefault="00ED2FBA" w:rsidP="00D620BD">
      <w:pPr>
        <w:pStyle w:val="ListParagraph"/>
        <w:spacing w:before="0" w:after="0" w:line="360" w:lineRule="auto"/>
        <w:jc w:val="both"/>
        <w:rPr>
          <w:rFonts w:ascii="Cambria" w:hAnsi="Cambria"/>
          <w:sz w:val="24"/>
          <w:szCs w:val="24"/>
          <w:u w:val="single"/>
        </w:rPr>
      </w:pPr>
    </w:p>
    <w:p w:rsidR="004D58CE" w:rsidRPr="009033A1" w:rsidRDefault="00596AED" w:rsidP="00576BA4">
      <w:pPr>
        <w:pStyle w:val="ListParagraph"/>
        <w:numPr>
          <w:ilvl w:val="0"/>
          <w:numId w:val="34"/>
        </w:numPr>
        <w:spacing w:before="0" w:after="0" w:line="360" w:lineRule="auto"/>
        <w:jc w:val="both"/>
        <w:outlineLvl w:val="1"/>
        <w:rPr>
          <w:rFonts w:ascii="Cambria" w:hAnsi="Cambria"/>
          <w:sz w:val="24"/>
          <w:szCs w:val="24"/>
        </w:rPr>
      </w:pPr>
      <w:bookmarkStart w:id="13" w:name="_Toc445914010"/>
      <w:r w:rsidRPr="009033A1">
        <w:rPr>
          <w:rFonts w:ascii="Cambria" w:hAnsi="Cambria"/>
          <w:sz w:val="24"/>
          <w:szCs w:val="24"/>
        </w:rPr>
        <w:t xml:space="preserve">Remittance of </w:t>
      </w:r>
      <w:r w:rsidR="004D58CE" w:rsidRPr="009033A1">
        <w:rPr>
          <w:rFonts w:ascii="Cambria" w:hAnsi="Cambria"/>
          <w:sz w:val="24"/>
          <w:szCs w:val="24"/>
        </w:rPr>
        <w:t>Excess STT</w:t>
      </w:r>
      <w:r w:rsidRPr="009033A1">
        <w:rPr>
          <w:rFonts w:ascii="Cambria" w:hAnsi="Cambria"/>
          <w:sz w:val="24"/>
          <w:szCs w:val="24"/>
        </w:rPr>
        <w:t xml:space="preserve"> collected by Members</w:t>
      </w:r>
      <w:bookmarkEnd w:id="13"/>
    </w:p>
    <w:p w:rsidR="009033A1" w:rsidRDefault="009033A1" w:rsidP="00D620BD">
      <w:pPr>
        <w:pStyle w:val="ListParagraph"/>
        <w:spacing w:before="0" w:after="0" w:line="360" w:lineRule="auto"/>
        <w:jc w:val="both"/>
        <w:rPr>
          <w:rFonts w:ascii="Cambria" w:hAnsi="Cambria"/>
          <w:sz w:val="24"/>
          <w:szCs w:val="24"/>
        </w:rPr>
      </w:pPr>
    </w:p>
    <w:p w:rsidR="000E6C3A" w:rsidRPr="00D620BD" w:rsidRDefault="00596AED" w:rsidP="00D620BD">
      <w:pPr>
        <w:pStyle w:val="ListParagraph"/>
        <w:spacing w:before="0" w:after="0" w:line="360" w:lineRule="auto"/>
        <w:jc w:val="both"/>
        <w:rPr>
          <w:rFonts w:ascii="Cambria" w:hAnsi="Cambria"/>
          <w:sz w:val="24"/>
          <w:szCs w:val="24"/>
        </w:rPr>
      </w:pPr>
      <w:r w:rsidRPr="00D620BD">
        <w:rPr>
          <w:rFonts w:ascii="Cambria" w:hAnsi="Cambria"/>
          <w:sz w:val="24"/>
          <w:szCs w:val="24"/>
        </w:rPr>
        <w:t>Excess STT collected by some brokers/sub-brokers is required to be remitted to the Government account.</w:t>
      </w:r>
    </w:p>
    <w:p w:rsidR="00502FAC" w:rsidRPr="00D620BD" w:rsidRDefault="00502FAC" w:rsidP="00D620BD">
      <w:pPr>
        <w:spacing w:line="360" w:lineRule="auto"/>
        <w:rPr>
          <w:rFonts w:ascii="Cambria" w:hAnsi="Cambria"/>
          <w:sz w:val="24"/>
          <w:szCs w:val="24"/>
        </w:rPr>
      </w:pPr>
      <w:r w:rsidRPr="00D620BD">
        <w:rPr>
          <w:rFonts w:ascii="Cambria" w:hAnsi="Cambria"/>
          <w:sz w:val="24"/>
          <w:szCs w:val="24"/>
        </w:rPr>
        <w:br w:type="page"/>
      </w:r>
    </w:p>
    <w:p w:rsidR="00C46FBE" w:rsidRPr="00576BA4" w:rsidRDefault="004160A7" w:rsidP="004160A7">
      <w:pPr>
        <w:pStyle w:val="Heading1"/>
        <w:ind w:left="709" w:hanging="709"/>
        <w:rPr>
          <w:rFonts w:ascii="Cambria" w:hAnsi="Cambria"/>
          <w:b/>
          <w:sz w:val="24"/>
          <w:szCs w:val="24"/>
        </w:rPr>
      </w:pPr>
      <w:bookmarkStart w:id="14" w:name="_Toc445914011"/>
      <w:r>
        <w:rPr>
          <w:rFonts w:ascii="Cambria" w:hAnsi="Cambria"/>
          <w:b/>
          <w:sz w:val="24"/>
          <w:szCs w:val="24"/>
        </w:rPr>
        <w:lastRenderedPageBreak/>
        <w:t>IV.</w:t>
      </w:r>
      <w:r>
        <w:rPr>
          <w:rFonts w:ascii="Cambria" w:hAnsi="Cambria"/>
          <w:b/>
          <w:sz w:val="24"/>
          <w:szCs w:val="24"/>
        </w:rPr>
        <w:tab/>
      </w:r>
      <w:r w:rsidR="00DF1BA2" w:rsidRPr="00576BA4">
        <w:rPr>
          <w:rFonts w:ascii="Cambria" w:hAnsi="Cambria"/>
          <w:b/>
          <w:sz w:val="24"/>
          <w:szCs w:val="24"/>
        </w:rPr>
        <w:t>Master Circular for Insurance</w:t>
      </w:r>
      <w:bookmarkEnd w:id="14"/>
    </w:p>
    <w:p w:rsidR="00853035" w:rsidRPr="00D620BD" w:rsidRDefault="00853035" w:rsidP="00D620BD">
      <w:pPr>
        <w:pStyle w:val="ListParagraph"/>
        <w:spacing w:before="0" w:after="0" w:line="360" w:lineRule="auto"/>
        <w:jc w:val="both"/>
        <w:rPr>
          <w:rFonts w:ascii="Cambria" w:hAnsi="Cambria"/>
          <w:sz w:val="24"/>
          <w:szCs w:val="24"/>
        </w:rPr>
      </w:pPr>
    </w:p>
    <w:p w:rsidR="00531D7F" w:rsidRPr="009033A1" w:rsidRDefault="00531D7F" w:rsidP="00576BA4">
      <w:pPr>
        <w:pStyle w:val="ListParagraph"/>
        <w:numPr>
          <w:ilvl w:val="0"/>
          <w:numId w:val="35"/>
        </w:numPr>
        <w:spacing w:before="0" w:after="0" w:line="360" w:lineRule="auto"/>
        <w:jc w:val="both"/>
        <w:outlineLvl w:val="1"/>
        <w:rPr>
          <w:rFonts w:ascii="Cambria" w:hAnsi="Cambria"/>
          <w:sz w:val="24"/>
          <w:szCs w:val="24"/>
        </w:rPr>
      </w:pPr>
      <w:bookmarkStart w:id="15" w:name="_Toc445914012"/>
      <w:r w:rsidRPr="009033A1">
        <w:rPr>
          <w:rFonts w:ascii="Cambria" w:hAnsi="Cambria"/>
          <w:sz w:val="24"/>
          <w:szCs w:val="24"/>
        </w:rPr>
        <w:t xml:space="preserve">Submission of </w:t>
      </w:r>
      <w:r w:rsidR="00202779" w:rsidRPr="009033A1">
        <w:rPr>
          <w:rFonts w:ascii="Cambria" w:hAnsi="Cambria"/>
          <w:sz w:val="24"/>
          <w:szCs w:val="24"/>
        </w:rPr>
        <w:t xml:space="preserve">proof of </w:t>
      </w:r>
      <w:r w:rsidRPr="009033A1">
        <w:rPr>
          <w:rFonts w:ascii="Cambria" w:hAnsi="Cambria"/>
          <w:sz w:val="24"/>
          <w:szCs w:val="24"/>
        </w:rPr>
        <w:t xml:space="preserve">renewal of </w:t>
      </w:r>
      <w:r w:rsidR="00202779" w:rsidRPr="009033A1">
        <w:rPr>
          <w:rFonts w:ascii="Cambria" w:hAnsi="Cambria"/>
          <w:sz w:val="24"/>
          <w:szCs w:val="24"/>
        </w:rPr>
        <w:t>Broker’s I</w:t>
      </w:r>
      <w:r w:rsidR="00772043" w:rsidRPr="009033A1">
        <w:rPr>
          <w:rFonts w:ascii="Cambria" w:hAnsi="Cambria"/>
          <w:sz w:val="24"/>
          <w:szCs w:val="24"/>
        </w:rPr>
        <w:t xml:space="preserve">ndemnity </w:t>
      </w:r>
      <w:r w:rsidR="00202779" w:rsidRPr="009033A1">
        <w:rPr>
          <w:rFonts w:ascii="Cambria" w:hAnsi="Cambria"/>
          <w:sz w:val="24"/>
          <w:szCs w:val="24"/>
        </w:rPr>
        <w:t>Insurance P</w:t>
      </w:r>
      <w:r w:rsidR="00772043" w:rsidRPr="009033A1">
        <w:rPr>
          <w:rFonts w:ascii="Cambria" w:hAnsi="Cambria"/>
          <w:sz w:val="24"/>
          <w:szCs w:val="24"/>
        </w:rPr>
        <w:t>olicy</w:t>
      </w:r>
      <w:bookmarkEnd w:id="15"/>
      <w:r w:rsidR="00772043" w:rsidRPr="009033A1">
        <w:rPr>
          <w:rFonts w:ascii="Cambria" w:hAnsi="Cambria"/>
          <w:sz w:val="24"/>
          <w:szCs w:val="24"/>
        </w:rPr>
        <w:t xml:space="preserve"> </w:t>
      </w:r>
    </w:p>
    <w:p w:rsidR="009033A1" w:rsidRDefault="009033A1" w:rsidP="00D620BD">
      <w:pPr>
        <w:pStyle w:val="ListParagraph"/>
        <w:spacing w:before="0" w:after="0" w:line="360" w:lineRule="auto"/>
        <w:jc w:val="both"/>
        <w:rPr>
          <w:rFonts w:ascii="Cambria" w:hAnsi="Cambria"/>
          <w:sz w:val="24"/>
          <w:szCs w:val="24"/>
        </w:rPr>
      </w:pPr>
    </w:p>
    <w:p w:rsidR="00772043" w:rsidRDefault="00531D7F" w:rsidP="00D620BD">
      <w:pPr>
        <w:pStyle w:val="ListParagraph"/>
        <w:spacing w:before="0" w:after="0" w:line="360" w:lineRule="auto"/>
        <w:jc w:val="both"/>
        <w:rPr>
          <w:rFonts w:ascii="Cambria" w:hAnsi="Cambria"/>
          <w:sz w:val="24"/>
          <w:szCs w:val="24"/>
        </w:rPr>
      </w:pPr>
      <w:r w:rsidRPr="00D620BD">
        <w:rPr>
          <w:rFonts w:ascii="Cambria" w:hAnsi="Cambria"/>
          <w:sz w:val="24"/>
          <w:szCs w:val="24"/>
        </w:rPr>
        <w:t xml:space="preserve">The Trading Members are required to submit proof of Broker’s Insurance Indemnity Policy on or before July 31 every year.  </w:t>
      </w:r>
      <w:r w:rsidR="00772043" w:rsidRPr="00D620BD">
        <w:rPr>
          <w:rFonts w:ascii="Cambria" w:hAnsi="Cambria"/>
          <w:sz w:val="24"/>
          <w:szCs w:val="24"/>
        </w:rPr>
        <w:t xml:space="preserve">In case </w:t>
      </w:r>
      <w:r w:rsidRPr="00D620BD">
        <w:rPr>
          <w:rFonts w:ascii="Cambria" w:hAnsi="Cambria"/>
          <w:sz w:val="24"/>
          <w:szCs w:val="24"/>
        </w:rPr>
        <w:t xml:space="preserve">of </w:t>
      </w:r>
      <w:r w:rsidR="00772043" w:rsidRPr="00D620BD">
        <w:rPr>
          <w:rFonts w:ascii="Cambria" w:hAnsi="Cambria"/>
          <w:sz w:val="24"/>
          <w:szCs w:val="24"/>
        </w:rPr>
        <w:t>any delay</w:t>
      </w:r>
      <w:r w:rsidRPr="00D620BD">
        <w:rPr>
          <w:rFonts w:ascii="Cambria" w:hAnsi="Cambria"/>
          <w:sz w:val="24"/>
          <w:szCs w:val="24"/>
        </w:rPr>
        <w:t xml:space="preserve"> in the same</w:t>
      </w:r>
      <w:r w:rsidR="00772043" w:rsidRPr="00D620BD">
        <w:rPr>
          <w:rFonts w:ascii="Cambria" w:hAnsi="Cambria"/>
          <w:sz w:val="24"/>
          <w:szCs w:val="24"/>
        </w:rPr>
        <w:t>, fi</w:t>
      </w:r>
      <w:r w:rsidRPr="00D620BD">
        <w:rPr>
          <w:rFonts w:ascii="Cambria" w:hAnsi="Cambria"/>
          <w:sz w:val="24"/>
          <w:szCs w:val="24"/>
        </w:rPr>
        <w:t>ne of Rs. 100 per day is leviable.</w:t>
      </w:r>
    </w:p>
    <w:p w:rsidR="002F200B" w:rsidRDefault="002F200B" w:rsidP="00D620BD">
      <w:pPr>
        <w:pStyle w:val="ListParagraph"/>
        <w:spacing w:before="0" w:after="0" w:line="360" w:lineRule="auto"/>
        <w:jc w:val="both"/>
        <w:rPr>
          <w:rFonts w:ascii="Cambria" w:hAnsi="Cambria"/>
          <w:sz w:val="24"/>
          <w:szCs w:val="24"/>
        </w:rPr>
      </w:pPr>
    </w:p>
    <w:p w:rsidR="00CB4CF1" w:rsidRDefault="00CB4CF1" w:rsidP="00D620BD">
      <w:pPr>
        <w:pStyle w:val="ListParagraph"/>
        <w:spacing w:before="0" w:after="0" w:line="360" w:lineRule="auto"/>
        <w:jc w:val="both"/>
        <w:rPr>
          <w:rFonts w:ascii="Cambria" w:hAnsi="Cambria"/>
          <w:sz w:val="24"/>
          <w:szCs w:val="24"/>
        </w:rPr>
      </w:pPr>
    </w:p>
    <w:p w:rsidR="00202779" w:rsidRPr="009033A1" w:rsidRDefault="00202779" w:rsidP="00576BA4">
      <w:pPr>
        <w:pStyle w:val="ListParagraph"/>
        <w:numPr>
          <w:ilvl w:val="0"/>
          <w:numId w:val="35"/>
        </w:numPr>
        <w:spacing w:before="0" w:after="0" w:line="360" w:lineRule="auto"/>
        <w:jc w:val="both"/>
        <w:outlineLvl w:val="1"/>
        <w:rPr>
          <w:rFonts w:ascii="Cambria" w:hAnsi="Cambria"/>
          <w:sz w:val="24"/>
          <w:szCs w:val="24"/>
        </w:rPr>
      </w:pPr>
      <w:bookmarkStart w:id="16" w:name="_Toc445914013"/>
      <w:r w:rsidRPr="009033A1">
        <w:rPr>
          <w:rFonts w:ascii="Cambria" w:hAnsi="Cambria"/>
          <w:sz w:val="24"/>
          <w:szCs w:val="24"/>
        </w:rPr>
        <w:t>Deficiencies observed in Broker’s Indemnity Insurance Policy</w:t>
      </w:r>
      <w:bookmarkEnd w:id="16"/>
    </w:p>
    <w:p w:rsidR="009033A1" w:rsidRDefault="009033A1" w:rsidP="00D620BD">
      <w:pPr>
        <w:pStyle w:val="ListParagraph"/>
        <w:spacing w:before="0" w:after="0" w:line="360" w:lineRule="auto"/>
        <w:jc w:val="both"/>
        <w:rPr>
          <w:rFonts w:ascii="Cambria" w:hAnsi="Cambria"/>
          <w:sz w:val="24"/>
          <w:szCs w:val="24"/>
        </w:rPr>
      </w:pPr>
    </w:p>
    <w:p w:rsidR="00A735A7" w:rsidRPr="00D620BD" w:rsidRDefault="00202779" w:rsidP="00D620BD">
      <w:pPr>
        <w:pStyle w:val="ListParagraph"/>
        <w:spacing w:before="0" w:after="0" w:line="360" w:lineRule="auto"/>
        <w:jc w:val="both"/>
        <w:rPr>
          <w:rStyle w:val="FootnoteReference"/>
          <w:rFonts w:ascii="Cambria" w:hAnsi="Cambria"/>
          <w:sz w:val="24"/>
          <w:szCs w:val="24"/>
          <w:vertAlign w:val="baseline"/>
        </w:rPr>
      </w:pPr>
      <w:r w:rsidRPr="00D620BD">
        <w:rPr>
          <w:rFonts w:ascii="Cambria" w:hAnsi="Cambria"/>
          <w:sz w:val="24"/>
          <w:szCs w:val="24"/>
        </w:rPr>
        <w:t xml:space="preserve">The members may note some of the deficiencies </w:t>
      </w:r>
      <w:r w:rsidR="00A735A7" w:rsidRPr="00D620BD">
        <w:rPr>
          <w:rFonts w:ascii="Cambria" w:hAnsi="Cambria"/>
          <w:sz w:val="24"/>
          <w:szCs w:val="24"/>
        </w:rPr>
        <w:t>observed in Trading Members’ Indemnity Insurance Policy</w:t>
      </w:r>
      <w:r w:rsidR="00BC4088" w:rsidRPr="00D620BD">
        <w:rPr>
          <w:rFonts w:ascii="Cambria" w:hAnsi="Cambria"/>
          <w:sz w:val="24"/>
          <w:szCs w:val="24"/>
        </w:rPr>
        <w:t xml:space="preserve"> </w:t>
      </w:r>
      <w:r w:rsidRPr="00D620BD">
        <w:rPr>
          <w:rFonts w:ascii="Cambria" w:hAnsi="Cambria"/>
          <w:sz w:val="24"/>
          <w:szCs w:val="24"/>
        </w:rPr>
        <w:t>and take needful action -</w:t>
      </w:r>
    </w:p>
    <w:p w:rsidR="00BC4088" w:rsidRPr="00D620BD" w:rsidRDefault="00BC4088" w:rsidP="00576BA4">
      <w:pPr>
        <w:pStyle w:val="ListParagraph"/>
        <w:numPr>
          <w:ilvl w:val="0"/>
          <w:numId w:val="36"/>
        </w:numPr>
        <w:spacing w:before="0" w:after="0" w:line="360" w:lineRule="auto"/>
        <w:jc w:val="both"/>
        <w:rPr>
          <w:rFonts w:ascii="Cambria" w:hAnsi="Cambria"/>
          <w:sz w:val="24"/>
          <w:szCs w:val="24"/>
        </w:rPr>
      </w:pPr>
      <w:r w:rsidRPr="00D620BD">
        <w:rPr>
          <w:rFonts w:ascii="Cambria" w:hAnsi="Cambria"/>
          <w:sz w:val="24"/>
          <w:szCs w:val="24"/>
        </w:rPr>
        <w:t>Non-insurance of errors / omissions while entering orders in exchange trading system by the Members or their Authorized Persons</w:t>
      </w:r>
    </w:p>
    <w:p w:rsidR="00BC4088" w:rsidRPr="00D620BD" w:rsidRDefault="00BC4088" w:rsidP="00576BA4">
      <w:pPr>
        <w:pStyle w:val="ListParagraph"/>
        <w:numPr>
          <w:ilvl w:val="0"/>
          <w:numId w:val="36"/>
        </w:numPr>
        <w:spacing w:before="0" w:after="0" w:line="360" w:lineRule="auto"/>
        <w:jc w:val="both"/>
        <w:rPr>
          <w:rFonts w:ascii="Cambria" w:hAnsi="Cambria"/>
          <w:sz w:val="24"/>
          <w:szCs w:val="24"/>
        </w:rPr>
      </w:pPr>
      <w:r w:rsidRPr="00D620BD">
        <w:rPr>
          <w:rFonts w:ascii="Cambria" w:hAnsi="Cambria"/>
          <w:sz w:val="24"/>
          <w:szCs w:val="24"/>
        </w:rPr>
        <w:t>Non-insurance of branch locations</w:t>
      </w:r>
    </w:p>
    <w:p w:rsidR="00BC4088" w:rsidRPr="00D620BD" w:rsidRDefault="00BC4088" w:rsidP="00576BA4">
      <w:pPr>
        <w:pStyle w:val="ListParagraph"/>
        <w:numPr>
          <w:ilvl w:val="0"/>
          <w:numId w:val="36"/>
        </w:numPr>
        <w:spacing w:before="0" w:after="0" w:line="360" w:lineRule="auto"/>
        <w:jc w:val="both"/>
        <w:rPr>
          <w:rFonts w:ascii="Cambria" w:hAnsi="Cambria"/>
          <w:sz w:val="24"/>
          <w:szCs w:val="24"/>
        </w:rPr>
      </w:pPr>
      <w:r w:rsidRPr="00D620BD">
        <w:rPr>
          <w:rFonts w:ascii="Cambria" w:hAnsi="Cambria"/>
          <w:sz w:val="24"/>
          <w:szCs w:val="24"/>
        </w:rPr>
        <w:t>Non-insurance of certain segments where the Member is currently operational</w:t>
      </w:r>
    </w:p>
    <w:p w:rsidR="00BC4088" w:rsidRPr="00D620BD" w:rsidRDefault="00BC4088" w:rsidP="00576BA4">
      <w:pPr>
        <w:pStyle w:val="ListParagraph"/>
        <w:numPr>
          <w:ilvl w:val="0"/>
          <w:numId w:val="36"/>
        </w:numPr>
        <w:spacing w:before="0" w:after="0" w:line="360" w:lineRule="auto"/>
        <w:jc w:val="both"/>
        <w:rPr>
          <w:rFonts w:ascii="Cambria" w:hAnsi="Cambria"/>
          <w:sz w:val="24"/>
          <w:szCs w:val="24"/>
        </w:rPr>
      </w:pPr>
      <w:r w:rsidRPr="00D620BD">
        <w:rPr>
          <w:rFonts w:ascii="Cambria" w:hAnsi="Cambria"/>
          <w:sz w:val="24"/>
          <w:szCs w:val="24"/>
        </w:rPr>
        <w:t>Lower insurance cover as compared to the Members total business exposure</w:t>
      </w:r>
    </w:p>
    <w:p w:rsidR="00BC4088" w:rsidRPr="00D620BD" w:rsidRDefault="00BC4088" w:rsidP="00576BA4">
      <w:pPr>
        <w:pStyle w:val="ListParagraph"/>
        <w:numPr>
          <w:ilvl w:val="0"/>
          <w:numId w:val="36"/>
        </w:numPr>
        <w:spacing w:before="0" w:after="0" w:line="360" w:lineRule="auto"/>
        <w:jc w:val="both"/>
        <w:rPr>
          <w:rFonts w:ascii="Cambria" w:hAnsi="Cambria"/>
          <w:sz w:val="24"/>
          <w:szCs w:val="24"/>
        </w:rPr>
      </w:pPr>
      <w:r w:rsidRPr="00D620BD">
        <w:rPr>
          <w:rFonts w:ascii="Cambria" w:hAnsi="Cambria"/>
          <w:sz w:val="24"/>
          <w:szCs w:val="24"/>
        </w:rPr>
        <w:t>Member-end hardware / software failure or any other failure leading to inability to enter orders into exchange trading system</w:t>
      </w:r>
    </w:p>
    <w:p w:rsidR="00BC4088" w:rsidRPr="00D620BD" w:rsidRDefault="00BC4088" w:rsidP="00576BA4">
      <w:pPr>
        <w:pStyle w:val="ListParagraph"/>
        <w:numPr>
          <w:ilvl w:val="0"/>
          <w:numId w:val="36"/>
        </w:numPr>
        <w:spacing w:before="0" w:after="0" w:line="360" w:lineRule="auto"/>
        <w:jc w:val="both"/>
        <w:rPr>
          <w:rFonts w:ascii="Cambria" w:hAnsi="Cambria"/>
          <w:sz w:val="24"/>
          <w:szCs w:val="24"/>
        </w:rPr>
      </w:pPr>
      <w:r w:rsidRPr="00D620BD">
        <w:rPr>
          <w:rFonts w:ascii="Cambria" w:hAnsi="Cambria"/>
          <w:sz w:val="24"/>
          <w:szCs w:val="24"/>
        </w:rPr>
        <w:t>Cyber crime</w:t>
      </w:r>
    </w:p>
    <w:p w:rsidR="00202779" w:rsidRPr="000A046E" w:rsidRDefault="00202779" w:rsidP="00D620BD">
      <w:pPr>
        <w:spacing w:before="0" w:after="0" w:line="360" w:lineRule="auto"/>
        <w:ind w:left="862"/>
        <w:jc w:val="both"/>
        <w:rPr>
          <w:rFonts w:ascii="Cambria" w:hAnsi="Cambria"/>
          <w:sz w:val="24"/>
          <w:szCs w:val="24"/>
        </w:rPr>
      </w:pPr>
    </w:p>
    <w:p w:rsidR="000A046E" w:rsidRDefault="000A046E" w:rsidP="000A046E">
      <w:pPr>
        <w:spacing w:before="0" w:after="0" w:line="360" w:lineRule="auto"/>
        <w:ind w:left="862"/>
        <w:jc w:val="center"/>
        <w:rPr>
          <w:rFonts w:ascii="Cambria" w:hAnsi="Cambria"/>
          <w:sz w:val="24"/>
          <w:szCs w:val="24"/>
        </w:rPr>
      </w:pPr>
      <w:r w:rsidRPr="000A046E">
        <w:rPr>
          <w:rFonts w:ascii="Cambria" w:hAnsi="Cambria"/>
          <w:sz w:val="24"/>
          <w:szCs w:val="24"/>
        </w:rPr>
        <w:t>************</w:t>
      </w:r>
    </w:p>
    <w:p w:rsidR="000A046E" w:rsidRPr="000A046E" w:rsidRDefault="000A046E" w:rsidP="00D620BD">
      <w:pPr>
        <w:spacing w:before="0" w:after="0" w:line="360" w:lineRule="auto"/>
        <w:ind w:left="862"/>
        <w:jc w:val="both"/>
        <w:rPr>
          <w:rFonts w:ascii="Cambria" w:hAnsi="Cambria"/>
          <w:sz w:val="24"/>
          <w:szCs w:val="24"/>
        </w:rPr>
      </w:pPr>
    </w:p>
    <w:sectPr w:rsidR="000A046E" w:rsidRPr="000A046E" w:rsidSect="006329FC">
      <w:headerReference w:type="default" r:id="rId8"/>
      <w:footerReference w:type="default" r:id="rId9"/>
      <w:pgSz w:w="11906" w:h="16838"/>
      <w:pgMar w:top="1440" w:right="1440" w:bottom="1440" w:left="1440" w:header="720" w:footer="3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89B" w:rsidRDefault="0023589B" w:rsidP="008E5B90">
      <w:pPr>
        <w:spacing w:before="0" w:after="0" w:line="240" w:lineRule="auto"/>
      </w:pPr>
      <w:r>
        <w:separator/>
      </w:r>
    </w:p>
  </w:endnote>
  <w:endnote w:type="continuationSeparator" w:id="0">
    <w:p w:rsidR="0023589B" w:rsidRDefault="0023589B" w:rsidP="008E5B9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7750969"/>
      <w:docPartObj>
        <w:docPartGallery w:val="Page Numbers (Bottom of Page)"/>
        <w:docPartUnique/>
      </w:docPartObj>
    </w:sdtPr>
    <w:sdtEndPr>
      <w:rPr>
        <w:noProof/>
      </w:rPr>
    </w:sdtEndPr>
    <w:sdtContent>
      <w:p w:rsidR="00371009" w:rsidRDefault="00371009" w:rsidP="00E27154">
        <w:pPr>
          <w:pStyle w:val="Footer"/>
          <w:pBdr>
            <w:top w:val="single" w:sz="4" w:space="1" w:color="auto"/>
          </w:pBdr>
          <w:jc w:val="right"/>
        </w:pPr>
        <w:r>
          <w:fldChar w:fldCharType="begin"/>
        </w:r>
        <w:r>
          <w:instrText xml:space="preserve"> PAGE   \* MERGEFORMAT </w:instrText>
        </w:r>
        <w:r>
          <w:fldChar w:fldCharType="separate"/>
        </w:r>
        <w:r w:rsidR="00087015">
          <w:rPr>
            <w:noProof/>
          </w:rPr>
          <w:t>1</w:t>
        </w:r>
        <w:r>
          <w:rPr>
            <w:noProof/>
          </w:rPr>
          <w:fldChar w:fldCharType="end"/>
        </w:r>
      </w:p>
    </w:sdtContent>
  </w:sdt>
  <w:p w:rsidR="00371009" w:rsidRDefault="00371009" w:rsidP="00E27154">
    <w:pPr>
      <w:pStyle w:val="Footer"/>
    </w:pPr>
  </w:p>
  <w:p w:rsidR="00371009" w:rsidRDefault="003710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89B" w:rsidRDefault="0023589B" w:rsidP="008E5B90">
      <w:pPr>
        <w:spacing w:before="0" w:after="0" w:line="240" w:lineRule="auto"/>
      </w:pPr>
      <w:r>
        <w:separator/>
      </w:r>
    </w:p>
  </w:footnote>
  <w:footnote w:type="continuationSeparator" w:id="0">
    <w:p w:rsidR="0023589B" w:rsidRDefault="0023589B" w:rsidP="008E5B9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009" w:rsidRDefault="00371009" w:rsidP="008E5B90">
    <w:pPr>
      <w:pStyle w:val="Header"/>
      <w:jc w:val="center"/>
      <w:rPr>
        <w:rFonts w:ascii="Cambria" w:hAnsi="Cambria"/>
        <w:sz w:val="36"/>
        <w:lang w:val="en-US"/>
      </w:rPr>
    </w:pPr>
    <w:r w:rsidRPr="008E5B90">
      <w:rPr>
        <w:rFonts w:ascii="Cambria" w:hAnsi="Cambria"/>
        <w:sz w:val="36"/>
        <w:lang w:val="en-US"/>
      </w:rPr>
      <w:t>BSE Limited</w:t>
    </w:r>
  </w:p>
  <w:p w:rsidR="00371009" w:rsidRPr="00C85990" w:rsidRDefault="00371009" w:rsidP="00C85990">
    <w:pPr>
      <w:pStyle w:val="Header"/>
      <w:pBdr>
        <w:bottom w:val="single" w:sz="4" w:space="1" w:color="auto"/>
      </w:pBdr>
      <w:jc w:val="center"/>
      <w:rPr>
        <w:rFonts w:ascii="Cambria" w:hAnsi="Cambria"/>
        <w:sz w:val="28"/>
        <w:lang w:val="en-US"/>
      </w:rPr>
    </w:pPr>
    <w:r w:rsidRPr="00C85990">
      <w:rPr>
        <w:rFonts w:ascii="Cambria" w:hAnsi="Cambria"/>
        <w:sz w:val="28"/>
        <w:lang w:val="en-US"/>
      </w:rPr>
      <w:t>Finance and Accounts Department</w:t>
    </w:r>
  </w:p>
  <w:p w:rsidR="00371009" w:rsidRPr="00C85990" w:rsidRDefault="00371009" w:rsidP="008E5B90">
    <w:pPr>
      <w:pStyle w:val="Header"/>
      <w:jc w:val="center"/>
      <w:rPr>
        <w:rFonts w:ascii="Cambria" w:hAnsi="Cambria"/>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7B6A"/>
    <w:multiLevelType w:val="hybridMultilevel"/>
    <w:tmpl w:val="D656338E"/>
    <w:lvl w:ilvl="0" w:tplc="40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7FD3140"/>
    <w:multiLevelType w:val="hybridMultilevel"/>
    <w:tmpl w:val="0B34298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075"/>
    <w:multiLevelType w:val="multilevel"/>
    <w:tmpl w:val="C394BD90"/>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2B61AE"/>
    <w:multiLevelType w:val="hybridMultilevel"/>
    <w:tmpl w:val="0B34298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785F78"/>
    <w:multiLevelType w:val="hybridMultilevel"/>
    <w:tmpl w:val="AB464772"/>
    <w:lvl w:ilvl="0" w:tplc="4009000B">
      <w:start w:val="1"/>
      <w:numFmt w:val="bullet"/>
      <w:lvlText w:val=""/>
      <w:lvlJc w:val="left"/>
      <w:pPr>
        <w:ind w:left="1222" w:hanging="360"/>
      </w:pPr>
      <w:rPr>
        <w:rFonts w:ascii="Wingdings" w:hAnsi="Wingdings"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5" w15:restartNumberingAfterBreak="0">
    <w:nsid w:val="14B464D3"/>
    <w:multiLevelType w:val="hybridMultilevel"/>
    <w:tmpl w:val="7738FD2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15:restartNumberingAfterBreak="0">
    <w:nsid w:val="170D7257"/>
    <w:multiLevelType w:val="hybridMultilevel"/>
    <w:tmpl w:val="8C622D3C"/>
    <w:lvl w:ilvl="0" w:tplc="0809000B">
      <w:start w:val="1"/>
      <w:numFmt w:val="bullet"/>
      <w:lvlText w:val=""/>
      <w:lvlJc w:val="left"/>
      <w:pPr>
        <w:ind w:left="3708" w:hanging="360"/>
      </w:pPr>
      <w:rPr>
        <w:rFonts w:ascii="Wingdings" w:hAnsi="Wingdings" w:hint="default"/>
      </w:rPr>
    </w:lvl>
    <w:lvl w:ilvl="1" w:tplc="08090003" w:tentative="1">
      <w:start w:val="1"/>
      <w:numFmt w:val="bullet"/>
      <w:lvlText w:val="o"/>
      <w:lvlJc w:val="left"/>
      <w:pPr>
        <w:ind w:left="4428" w:hanging="360"/>
      </w:pPr>
      <w:rPr>
        <w:rFonts w:ascii="Courier New" w:hAnsi="Courier New" w:cs="Courier New" w:hint="default"/>
      </w:rPr>
    </w:lvl>
    <w:lvl w:ilvl="2" w:tplc="08090005" w:tentative="1">
      <w:start w:val="1"/>
      <w:numFmt w:val="bullet"/>
      <w:lvlText w:val=""/>
      <w:lvlJc w:val="left"/>
      <w:pPr>
        <w:ind w:left="5148" w:hanging="360"/>
      </w:pPr>
      <w:rPr>
        <w:rFonts w:ascii="Wingdings" w:hAnsi="Wingdings" w:hint="default"/>
      </w:rPr>
    </w:lvl>
    <w:lvl w:ilvl="3" w:tplc="08090001" w:tentative="1">
      <w:start w:val="1"/>
      <w:numFmt w:val="bullet"/>
      <w:lvlText w:val=""/>
      <w:lvlJc w:val="left"/>
      <w:pPr>
        <w:ind w:left="5868" w:hanging="360"/>
      </w:pPr>
      <w:rPr>
        <w:rFonts w:ascii="Symbol" w:hAnsi="Symbol" w:hint="default"/>
      </w:rPr>
    </w:lvl>
    <w:lvl w:ilvl="4" w:tplc="08090003" w:tentative="1">
      <w:start w:val="1"/>
      <w:numFmt w:val="bullet"/>
      <w:lvlText w:val="o"/>
      <w:lvlJc w:val="left"/>
      <w:pPr>
        <w:ind w:left="6588" w:hanging="360"/>
      </w:pPr>
      <w:rPr>
        <w:rFonts w:ascii="Courier New" w:hAnsi="Courier New" w:cs="Courier New" w:hint="default"/>
      </w:rPr>
    </w:lvl>
    <w:lvl w:ilvl="5" w:tplc="08090005" w:tentative="1">
      <w:start w:val="1"/>
      <w:numFmt w:val="bullet"/>
      <w:lvlText w:val=""/>
      <w:lvlJc w:val="left"/>
      <w:pPr>
        <w:ind w:left="7308" w:hanging="360"/>
      </w:pPr>
      <w:rPr>
        <w:rFonts w:ascii="Wingdings" w:hAnsi="Wingdings" w:hint="default"/>
      </w:rPr>
    </w:lvl>
    <w:lvl w:ilvl="6" w:tplc="08090001" w:tentative="1">
      <w:start w:val="1"/>
      <w:numFmt w:val="bullet"/>
      <w:lvlText w:val=""/>
      <w:lvlJc w:val="left"/>
      <w:pPr>
        <w:ind w:left="8028" w:hanging="360"/>
      </w:pPr>
      <w:rPr>
        <w:rFonts w:ascii="Symbol" w:hAnsi="Symbol" w:hint="default"/>
      </w:rPr>
    </w:lvl>
    <w:lvl w:ilvl="7" w:tplc="08090003" w:tentative="1">
      <w:start w:val="1"/>
      <w:numFmt w:val="bullet"/>
      <w:lvlText w:val="o"/>
      <w:lvlJc w:val="left"/>
      <w:pPr>
        <w:ind w:left="8748" w:hanging="360"/>
      </w:pPr>
      <w:rPr>
        <w:rFonts w:ascii="Courier New" w:hAnsi="Courier New" w:cs="Courier New" w:hint="default"/>
      </w:rPr>
    </w:lvl>
    <w:lvl w:ilvl="8" w:tplc="08090005" w:tentative="1">
      <w:start w:val="1"/>
      <w:numFmt w:val="bullet"/>
      <w:lvlText w:val=""/>
      <w:lvlJc w:val="left"/>
      <w:pPr>
        <w:ind w:left="9468" w:hanging="360"/>
      </w:pPr>
      <w:rPr>
        <w:rFonts w:ascii="Wingdings" w:hAnsi="Wingdings" w:hint="default"/>
      </w:rPr>
    </w:lvl>
  </w:abstractNum>
  <w:abstractNum w:abstractNumId="7" w15:restartNumberingAfterBreak="0">
    <w:nsid w:val="1CB03C4B"/>
    <w:multiLevelType w:val="hybridMultilevel"/>
    <w:tmpl w:val="C748A2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D33216"/>
    <w:multiLevelType w:val="multilevel"/>
    <w:tmpl w:val="DB366004"/>
    <w:lvl w:ilvl="0">
      <w:start w:val="1"/>
      <w:numFmt w:val="decimal"/>
      <w:lvlText w:val="%1."/>
      <w:lvlJc w:val="left"/>
      <w:pPr>
        <w:tabs>
          <w:tab w:val="num" w:pos="720"/>
        </w:tabs>
        <w:ind w:left="720" w:hanging="72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1C5342B"/>
    <w:multiLevelType w:val="hybridMultilevel"/>
    <w:tmpl w:val="35D8EBE4"/>
    <w:lvl w:ilvl="0" w:tplc="4009000D">
      <w:start w:val="1"/>
      <w:numFmt w:val="bullet"/>
      <w:lvlText w:val=""/>
      <w:lvlJc w:val="left"/>
      <w:pPr>
        <w:ind w:left="1222" w:hanging="360"/>
      </w:pPr>
      <w:rPr>
        <w:rFonts w:ascii="Wingdings" w:hAnsi="Wingdings"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10" w15:restartNumberingAfterBreak="0">
    <w:nsid w:val="273C6611"/>
    <w:multiLevelType w:val="multilevel"/>
    <w:tmpl w:val="75EECD90"/>
    <w:lvl w:ilvl="0">
      <w:start w:val="1"/>
      <w:numFmt w:val="decimal"/>
      <w:lvlText w:val="%1."/>
      <w:lvlJc w:val="left"/>
      <w:pPr>
        <w:ind w:left="360" w:hanging="24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81E4D11"/>
    <w:multiLevelType w:val="hybridMultilevel"/>
    <w:tmpl w:val="BF56BA7A"/>
    <w:lvl w:ilvl="0" w:tplc="3A760980">
      <w:numFmt w:val="bullet"/>
      <w:lvlText w:val="·"/>
      <w:lvlJc w:val="left"/>
      <w:pPr>
        <w:ind w:left="1800" w:hanging="360"/>
      </w:pPr>
      <w:rPr>
        <w:rFonts w:ascii="Cambria" w:eastAsiaTheme="minorEastAsia" w:hAnsi="Cambria" w:cstheme="minorBidi" w:hint="default"/>
      </w:rPr>
    </w:lvl>
    <w:lvl w:ilvl="1" w:tplc="740425EE">
      <w:numFmt w:val="bullet"/>
      <w:lvlText w:val="-"/>
      <w:lvlJc w:val="left"/>
      <w:pPr>
        <w:ind w:left="2670" w:hanging="510"/>
      </w:pPr>
      <w:rPr>
        <w:rFonts w:ascii="Cambria" w:eastAsiaTheme="minorEastAsia" w:hAnsi="Cambria" w:cstheme="minorBidi"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2" w15:restartNumberingAfterBreak="0">
    <w:nsid w:val="294C76BC"/>
    <w:multiLevelType w:val="hybridMultilevel"/>
    <w:tmpl w:val="D878ECF4"/>
    <w:lvl w:ilvl="0" w:tplc="4F5E4F70">
      <w:start w:val="1"/>
      <w:numFmt w:val="lowerLetter"/>
      <w:lvlText w:val="%1)"/>
      <w:lvlJc w:val="left"/>
      <w:pPr>
        <w:ind w:left="1470" w:hanging="7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6DF3B5F"/>
    <w:multiLevelType w:val="multilevel"/>
    <w:tmpl w:val="F162F26A"/>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EF15EC1"/>
    <w:multiLevelType w:val="multilevel"/>
    <w:tmpl w:val="75EECD90"/>
    <w:lvl w:ilvl="0">
      <w:start w:val="1"/>
      <w:numFmt w:val="decimal"/>
      <w:lvlText w:val="%1."/>
      <w:lvlJc w:val="left"/>
      <w:pPr>
        <w:ind w:left="360" w:hanging="24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986161"/>
    <w:multiLevelType w:val="hybridMultilevel"/>
    <w:tmpl w:val="42181428"/>
    <w:lvl w:ilvl="0" w:tplc="3A760980">
      <w:numFmt w:val="bullet"/>
      <w:lvlText w:val="·"/>
      <w:lvlJc w:val="left"/>
      <w:pPr>
        <w:ind w:left="1222" w:hanging="360"/>
      </w:pPr>
      <w:rPr>
        <w:rFonts w:ascii="Cambria" w:eastAsiaTheme="minorEastAsia" w:hAnsi="Cambria" w:cstheme="minorBidi"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16" w15:restartNumberingAfterBreak="0">
    <w:nsid w:val="40AD7479"/>
    <w:multiLevelType w:val="hybridMultilevel"/>
    <w:tmpl w:val="0B34298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B16E92"/>
    <w:multiLevelType w:val="multilevel"/>
    <w:tmpl w:val="42004F42"/>
    <w:lvl w:ilvl="0">
      <w:start w:val="1"/>
      <w:numFmt w:val="decimal"/>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984205D"/>
    <w:multiLevelType w:val="multilevel"/>
    <w:tmpl w:val="75EECD90"/>
    <w:lvl w:ilvl="0">
      <w:start w:val="1"/>
      <w:numFmt w:val="decimal"/>
      <w:lvlText w:val="%1."/>
      <w:lvlJc w:val="left"/>
      <w:pPr>
        <w:ind w:left="360" w:hanging="24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AE87387"/>
    <w:multiLevelType w:val="multilevel"/>
    <w:tmpl w:val="C394BD90"/>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C9A0309"/>
    <w:multiLevelType w:val="multilevel"/>
    <w:tmpl w:val="C964A2D6"/>
    <w:lvl w:ilvl="0">
      <w:start w:val="1"/>
      <w:numFmt w:val="decimal"/>
      <w:lvlText w:val="%1."/>
      <w:lvlJc w:val="left"/>
      <w:pPr>
        <w:tabs>
          <w:tab w:val="num" w:pos="720"/>
        </w:tabs>
        <w:ind w:left="720" w:hanging="72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1287"/>
        </w:tabs>
        <w:ind w:left="1287"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F9D737E"/>
    <w:multiLevelType w:val="hybridMultilevel"/>
    <w:tmpl w:val="DF30D3B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530E1429"/>
    <w:multiLevelType w:val="hybridMultilevel"/>
    <w:tmpl w:val="56C6470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556C69E5"/>
    <w:multiLevelType w:val="multilevel"/>
    <w:tmpl w:val="42004F42"/>
    <w:lvl w:ilvl="0">
      <w:start w:val="1"/>
      <w:numFmt w:val="decimal"/>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7E83ABE"/>
    <w:multiLevelType w:val="hybridMultilevel"/>
    <w:tmpl w:val="C748A2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B4239B3"/>
    <w:multiLevelType w:val="hybridMultilevel"/>
    <w:tmpl w:val="A4E436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E05338E"/>
    <w:multiLevelType w:val="hybridMultilevel"/>
    <w:tmpl w:val="C748A2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C56593"/>
    <w:multiLevelType w:val="hybridMultilevel"/>
    <w:tmpl w:val="AE50C1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3DE16AC"/>
    <w:multiLevelType w:val="hybridMultilevel"/>
    <w:tmpl w:val="0606851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4EA33A8"/>
    <w:multiLevelType w:val="hybridMultilevel"/>
    <w:tmpl w:val="7B06037C"/>
    <w:lvl w:ilvl="0" w:tplc="0809000F">
      <w:start w:val="1"/>
      <w:numFmt w:val="decimal"/>
      <w:lvlText w:val="%1."/>
      <w:lvlJc w:val="left"/>
      <w:pPr>
        <w:ind w:left="720" w:hanging="360"/>
      </w:pPr>
      <w:rPr>
        <w:rFonts w:hint="default"/>
        <w:color w:val="auto"/>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BE5B27"/>
    <w:multiLevelType w:val="hybridMultilevel"/>
    <w:tmpl w:val="693A4D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72B361E"/>
    <w:multiLevelType w:val="multilevel"/>
    <w:tmpl w:val="C394BD90"/>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8740040"/>
    <w:multiLevelType w:val="multilevel"/>
    <w:tmpl w:val="13ECC2F8"/>
    <w:lvl w:ilvl="0">
      <w:start w:val="1"/>
      <w:numFmt w:val="decimal"/>
      <w:lvlText w:val="%1."/>
      <w:lvlJc w:val="left"/>
      <w:pPr>
        <w:tabs>
          <w:tab w:val="num" w:pos="720"/>
        </w:tabs>
        <w:ind w:left="720" w:hanging="72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042670F"/>
    <w:multiLevelType w:val="hybridMultilevel"/>
    <w:tmpl w:val="31D641B4"/>
    <w:lvl w:ilvl="0" w:tplc="17264DE6">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0755CD"/>
    <w:multiLevelType w:val="multilevel"/>
    <w:tmpl w:val="C394BD90"/>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7D0261F"/>
    <w:multiLevelType w:val="multilevel"/>
    <w:tmpl w:val="E42AD046"/>
    <w:lvl w:ilvl="0">
      <w:start w:val="1"/>
      <w:numFmt w:val="decimal"/>
      <w:lvlText w:val="%1."/>
      <w:lvlJc w:val="left"/>
      <w:pPr>
        <w:tabs>
          <w:tab w:val="num" w:pos="720"/>
        </w:tabs>
        <w:ind w:left="720" w:hanging="72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0"/>
  </w:num>
  <w:num w:numId="2">
    <w:abstractNumId w:val="14"/>
  </w:num>
  <w:num w:numId="3">
    <w:abstractNumId w:val="18"/>
  </w:num>
  <w:num w:numId="4">
    <w:abstractNumId w:val="20"/>
  </w:num>
  <w:num w:numId="5">
    <w:abstractNumId w:val="29"/>
  </w:num>
  <w:num w:numId="6">
    <w:abstractNumId w:val="27"/>
  </w:num>
  <w:num w:numId="7">
    <w:abstractNumId w:val="33"/>
  </w:num>
  <w:num w:numId="8">
    <w:abstractNumId w:val="7"/>
  </w:num>
  <w:num w:numId="9">
    <w:abstractNumId w:val="25"/>
  </w:num>
  <w:num w:numId="10">
    <w:abstractNumId w:val="24"/>
  </w:num>
  <w:num w:numId="11">
    <w:abstractNumId w:val="26"/>
  </w:num>
  <w:num w:numId="12">
    <w:abstractNumId w:val="1"/>
  </w:num>
  <w:num w:numId="13">
    <w:abstractNumId w:val="3"/>
  </w:num>
  <w:num w:numId="14">
    <w:abstractNumId w:val="34"/>
  </w:num>
  <w:num w:numId="15">
    <w:abstractNumId w:val="23"/>
  </w:num>
  <w:num w:numId="16">
    <w:abstractNumId w:val="17"/>
  </w:num>
  <w:num w:numId="17">
    <w:abstractNumId w:val="0"/>
  </w:num>
  <w:num w:numId="18">
    <w:abstractNumId w:val="13"/>
  </w:num>
  <w:num w:numId="19">
    <w:abstractNumId w:val="16"/>
  </w:num>
  <w:num w:numId="20">
    <w:abstractNumId w:val="2"/>
  </w:num>
  <w:num w:numId="21">
    <w:abstractNumId w:val="6"/>
  </w:num>
  <w:num w:numId="22">
    <w:abstractNumId w:val="21"/>
  </w:num>
  <w:num w:numId="23">
    <w:abstractNumId w:val="30"/>
  </w:num>
  <w:num w:numId="24">
    <w:abstractNumId w:val="28"/>
  </w:num>
  <w:num w:numId="25">
    <w:abstractNumId w:val="19"/>
  </w:num>
  <w:num w:numId="26">
    <w:abstractNumId w:val="31"/>
  </w:num>
  <w:num w:numId="27">
    <w:abstractNumId w:val="5"/>
  </w:num>
  <w:num w:numId="28">
    <w:abstractNumId w:val="11"/>
  </w:num>
  <w:num w:numId="29">
    <w:abstractNumId w:val="15"/>
  </w:num>
  <w:num w:numId="30">
    <w:abstractNumId w:val="4"/>
  </w:num>
  <w:num w:numId="31">
    <w:abstractNumId w:val="22"/>
  </w:num>
  <w:num w:numId="32">
    <w:abstractNumId w:val="12"/>
  </w:num>
  <w:num w:numId="33">
    <w:abstractNumId w:val="32"/>
  </w:num>
  <w:num w:numId="34">
    <w:abstractNumId w:val="8"/>
  </w:num>
  <w:num w:numId="35">
    <w:abstractNumId w:val="35"/>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B90"/>
    <w:rsid w:val="0000648C"/>
    <w:rsid w:val="00032CCD"/>
    <w:rsid w:val="0003302B"/>
    <w:rsid w:val="00034D92"/>
    <w:rsid w:val="000364BB"/>
    <w:rsid w:val="000447B5"/>
    <w:rsid w:val="000451C6"/>
    <w:rsid w:val="0004758D"/>
    <w:rsid w:val="00054C51"/>
    <w:rsid w:val="00056D3C"/>
    <w:rsid w:val="00061439"/>
    <w:rsid w:val="00064D80"/>
    <w:rsid w:val="00074018"/>
    <w:rsid w:val="00087015"/>
    <w:rsid w:val="000A046E"/>
    <w:rsid w:val="000A1B87"/>
    <w:rsid w:val="000B2542"/>
    <w:rsid w:val="000B7498"/>
    <w:rsid w:val="000C08C9"/>
    <w:rsid w:val="000D32BC"/>
    <w:rsid w:val="000D611E"/>
    <w:rsid w:val="000E6C3A"/>
    <w:rsid w:val="000F0C69"/>
    <w:rsid w:val="000F43AB"/>
    <w:rsid w:val="000F58DF"/>
    <w:rsid w:val="00104363"/>
    <w:rsid w:val="00105DDE"/>
    <w:rsid w:val="00105E1D"/>
    <w:rsid w:val="001100BC"/>
    <w:rsid w:val="001121FE"/>
    <w:rsid w:val="00112B8E"/>
    <w:rsid w:val="0011499A"/>
    <w:rsid w:val="001171D0"/>
    <w:rsid w:val="00126E48"/>
    <w:rsid w:val="00127A76"/>
    <w:rsid w:val="0013303E"/>
    <w:rsid w:val="00134DC5"/>
    <w:rsid w:val="00140EEA"/>
    <w:rsid w:val="001444CF"/>
    <w:rsid w:val="001637E3"/>
    <w:rsid w:val="00174320"/>
    <w:rsid w:val="001753C6"/>
    <w:rsid w:val="00194290"/>
    <w:rsid w:val="00195284"/>
    <w:rsid w:val="001974E2"/>
    <w:rsid w:val="001A5045"/>
    <w:rsid w:val="001A7701"/>
    <w:rsid w:val="001C77B5"/>
    <w:rsid w:val="001D37BD"/>
    <w:rsid w:val="001E3EB3"/>
    <w:rsid w:val="001E44B7"/>
    <w:rsid w:val="001E6498"/>
    <w:rsid w:val="001E7890"/>
    <w:rsid w:val="001F50D4"/>
    <w:rsid w:val="001F50E4"/>
    <w:rsid w:val="001F55E6"/>
    <w:rsid w:val="00201A13"/>
    <w:rsid w:val="00202779"/>
    <w:rsid w:val="00206FBC"/>
    <w:rsid w:val="0020759F"/>
    <w:rsid w:val="00213930"/>
    <w:rsid w:val="00225AC6"/>
    <w:rsid w:val="00230012"/>
    <w:rsid w:val="0023040B"/>
    <w:rsid w:val="00230930"/>
    <w:rsid w:val="00233C77"/>
    <w:rsid w:val="0023500A"/>
    <w:rsid w:val="002351EF"/>
    <w:rsid w:val="0023589B"/>
    <w:rsid w:val="002362C1"/>
    <w:rsid w:val="00246AB4"/>
    <w:rsid w:val="002729BD"/>
    <w:rsid w:val="00275013"/>
    <w:rsid w:val="002762FD"/>
    <w:rsid w:val="0027659E"/>
    <w:rsid w:val="00280532"/>
    <w:rsid w:val="0029141C"/>
    <w:rsid w:val="0029200E"/>
    <w:rsid w:val="00295E7C"/>
    <w:rsid w:val="002A3DE3"/>
    <w:rsid w:val="002B6F8C"/>
    <w:rsid w:val="002C1692"/>
    <w:rsid w:val="002C5F10"/>
    <w:rsid w:val="002C620A"/>
    <w:rsid w:val="002F200B"/>
    <w:rsid w:val="002F4710"/>
    <w:rsid w:val="002F4C23"/>
    <w:rsid w:val="002F59AA"/>
    <w:rsid w:val="002F7140"/>
    <w:rsid w:val="00305291"/>
    <w:rsid w:val="003066B5"/>
    <w:rsid w:val="003134CE"/>
    <w:rsid w:val="00313F42"/>
    <w:rsid w:val="00314535"/>
    <w:rsid w:val="00314ABE"/>
    <w:rsid w:val="003208DF"/>
    <w:rsid w:val="003214D4"/>
    <w:rsid w:val="00321EA7"/>
    <w:rsid w:val="00324780"/>
    <w:rsid w:val="00324B75"/>
    <w:rsid w:val="00325BC3"/>
    <w:rsid w:val="00326A7F"/>
    <w:rsid w:val="00342F34"/>
    <w:rsid w:val="0034508F"/>
    <w:rsid w:val="0035082B"/>
    <w:rsid w:val="00355B5F"/>
    <w:rsid w:val="00365CCE"/>
    <w:rsid w:val="00366D02"/>
    <w:rsid w:val="00371009"/>
    <w:rsid w:val="0037673E"/>
    <w:rsid w:val="003812EE"/>
    <w:rsid w:val="003822CC"/>
    <w:rsid w:val="003848C2"/>
    <w:rsid w:val="00393ECC"/>
    <w:rsid w:val="003A3050"/>
    <w:rsid w:val="003A3419"/>
    <w:rsid w:val="003A3444"/>
    <w:rsid w:val="003A6A7D"/>
    <w:rsid w:val="003B0B12"/>
    <w:rsid w:val="003B7EF1"/>
    <w:rsid w:val="003C0FAC"/>
    <w:rsid w:val="003C6581"/>
    <w:rsid w:val="003D3721"/>
    <w:rsid w:val="003F1F4F"/>
    <w:rsid w:val="003F7FD4"/>
    <w:rsid w:val="004018F9"/>
    <w:rsid w:val="00405F1F"/>
    <w:rsid w:val="00406DB2"/>
    <w:rsid w:val="00406ED5"/>
    <w:rsid w:val="004160A7"/>
    <w:rsid w:val="00417059"/>
    <w:rsid w:val="004226D1"/>
    <w:rsid w:val="00432136"/>
    <w:rsid w:val="0043644D"/>
    <w:rsid w:val="00465873"/>
    <w:rsid w:val="004753AB"/>
    <w:rsid w:val="0048127A"/>
    <w:rsid w:val="00490E1B"/>
    <w:rsid w:val="00493F79"/>
    <w:rsid w:val="004A2738"/>
    <w:rsid w:val="004A4777"/>
    <w:rsid w:val="004B28F7"/>
    <w:rsid w:val="004B3D0F"/>
    <w:rsid w:val="004B7F0D"/>
    <w:rsid w:val="004C1539"/>
    <w:rsid w:val="004C4B34"/>
    <w:rsid w:val="004D4C86"/>
    <w:rsid w:val="004D58CE"/>
    <w:rsid w:val="004E1DC8"/>
    <w:rsid w:val="004E6054"/>
    <w:rsid w:val="004E6CF4"/>
    <w:rsid w:val="004E774D"/>
    <w:rsid w:val="004F7CA6"/>
    <w:rsid w:val="00500469"/>
    <w:rsid w:val="00502FAC"/>
    <w:rsid w:val="00504310"/>
    <w:rsid w:val="00504AE0"/>
    <w:rsid w:val="00506E63"/>
    <w:rsid w:val="00513AC6"/>
    <w:rsid w:val="00530895"/>
    <w:rsid w:val="00531D7F"/>
    <w:rsid w:val="00544068"/>
    <w:rsid w:val="00545486"/>
    <w:rsid w:val="00556A3F"/>
    <w:rsid w:val="00560FB8"/>
    <w:rsid w:val="005628BE"/>
    <w:rsid w:val="00563CA3"/>
    <w:rsid w:val="00566303"/>
    <w:rsid w:val="00570A50"/>
    <w:rsid w:val="00576BA4"/>
    <w:rsid w:val="0057707F"/>
    <w:rsid w:val="0058690B"/>
    <w:rsid w:val="00596AED"/>
    <w:rsid w:val="005B004C"/>
    <w:rsid w:val="005B092E"/>
    <w:rsid w:val="005D1FB2"/>
    <w:rsid w:val="005D311F"/>
    <w:rsid w:val="005D4589"/>
    <w:rsid w:val="005E08CB"/>
    <w:rsid w:val="005F2F2E"/>
    <w:rsid w:val="005F5404"/>
    <w:rsid w:val="006006A1"/>
    <w:rsid w:val="00600A8F"/>
    <w:rsid w:val="00602176"/>
    <w:rsid w:val="0061380D"/>
    <w:rsid w:val="00615E37"/>
    <w:rsid w:val="00616312"/>
    <w:rsid w:val="006300B9"/>
    <w:rsid w:val="006329FC"/>
    <w:rsid w:val="00634F8B"/>
    <w:rsid w:val="00641B0A"/>
    <w:rsid w:val="00654A2C"/>
    <w:rsid w:val="00665EF6"/>
    <w:rsid w:val="0066733F"/>
    <w:rsid w:val="00670A8A"/>
    <w:rsid w:val="00676932"/>
    <w:rsid w:val="00686D20"/>
    <w:rsid w:val="006912E2"/>
    <w:rsid w:val="006B32FF"/>
    <w:rsid w:val="006B4E9B"/>
    <w:rsid w:val="006C0BB8"/>
    <w:rsid w:val="006C34AF"/>
    <w:rsid w:val="006C43ED"/>
    <w:rsid w:val="006C4D74"/>
    <w:rsid w:val="006D2525"/>
    <w:rsid w:val="006E13A1"/>
    <w:rsid w:val="006E2417"/>
    <w:rsid w:val="006F06AA"/>
    <w:rsid w:val="007029EA"/>
    <w:rsid w:val="00707ACC"/>
    <w:rsid w:val="00710299"/>
    <w:rsid w:val="007133FF"/>
    <w:rsid w:val="007315F7"/>
    <w:rsid w:val="00731BF7"/>
    <w:rsid w:val="0073402C"/>
    <w:rsid w:val="00737F74"/>
    <w:rsid w:val="00761A9C"/>
    <w:rsid w:val="00762859"/>
    <w:rsid w:val="00767751"/>
    <w:rsid w:val="00772043"/>
    <w:rsid w:val="007821BE"/>
    <w:rsid w:val="00783C11"/>
    <w:rsid w:val="00790324"/>
    <w:rsid w:val="0079036E"/>
    <w:rsid w:val="00792164"/>
    <w:rsid w:val="0079352D"/>
    <w:rsid w:val="007A2C61"/>
    <w:rsid w:val="007A41B2"/>
    <w:rsid w:val="007A702E"/>
    <w:rsid w:val="007C14DF"/>
    <w:rsid w:val="007D0EB4"/>
    <w:rsid w:val="007D715B"/>
    <w:rsid w:val="007D7C2C"/>
    <w:rsid w:val="007E3358"/>
    <w:rsid w:val="007F0401"/>
    <w:rsid w:val="007F1E04"/>
    <w:rsid w:val="007F52F3"/>
    <w:rsid w:val="00801467"/>
    <w:rsid w:val="00801BA7"/>
    <w:rsid w:val="008336B5"/>
    <w:rsid w:val="008355F9"/>
    <w:rsid w:val="00842A9D"/>
    <w:rsid w:val="00845553"/>
    <w:rsid w:val="008464D6"/>
    <w:rsid w:val="00847138"/>
    <w:rsid w:val="00853035"/>
    <w:rsid w:val="00860E3E"/>
    <w:rsid w:val="008625E4"/>
    <w:rsid w:val="00863D06"/>
    <w:rsid w:val="008769AF"/>
    <w:rsid w:val="00880D1D"/>
    <w:rsid w:val="008843AE"/>
    <w:rsid w:val="0088441E"/>
    <w:rsid w:val="00884BA0"/>
    <w:rsid w:val="00887947"/>
    <w:rsid w:val="008964D6"/>
    <w:rsid w:val="008A12EF"/>
    <w:rsid w:val="008A3FE2"/>
    <w:rsid w:val="008A6D71"/>
    <w:rsid w:val="008D0166"/>
    <w:rsid w:val="008D0492"/>
    <w:rsid w:val="008E3662"/>
    <w:rsid w:val="008E5B90"/>
    <w:rsid w:val="008F382E"/>
    <w:rsid w:val="008F536B"/>
    <w:rsid w:val="008F5A4C"/>
    <w:rsid w:val="008F7BEA"/>
    <w:rsid w:val="00900B92"/>
    <w:rsid w:val="009010A6"/>
    <w:rsid w:val="009033A1"/>
    <w:rsid w:val="00906A6E"/>
    <w:rsid w:val="00907F8A"/>
    <w:rsid w:val="00914DE8"/>
    <w:rsid w:val="00921748"/>
    <w:rsid w:val="00924F80"/>
    <w:rsid w:val="009432F7"/>
    <w:rsid w:val="00953EBF"/>
    <w:rsid w:val="00954A3A"/>
    <w:rsid w:val="00964755"/>
    <w:rsid w:val="00971A69"/>
    <w:rsid w:val="00971C8D"/>
    <w:rsid w:val="00977040"/>
    <w:rsid w:val="00983378"/>
    <w:rsid w:val="0099736B"/>
    <w:rsid w:val="009A06D3"/>
    <w:rsid w:val="009A409D"/>
    <w:rsid w:val="009B5C9A"/>
    <w:rsid w:val="009C3B68"/>
    <w:rsid w:val="009C5D5C"/>
    <w:rsid w:val="009D4891"/>
    <w:rsid w:val="009D535E"/>
    <w:rsid w:val="009E04BB"/>
    <w:rsid w:val="009E49C5"/>
    <w:rsid w:val="009E7116"/>
    <w:rsid w:val="009F2FDC"/>
    <w:rsid w:val="009F7541"/>
    <w:rsid w:val="00A00FAB"/>
    <w:rsid w:val="00A03631"/>
    <w:rsid w:val="00A10180"/>
    <w:rsid w:val="00A10779"/>
    <w:rsid w:val="00A159EB"/>
    <w:rsid w:val="00A25F46"/>
    <w:rsid w:val="00A266EC"/>
    <w:rsid w:val="00A30C09"/>
    <w:rsid w:val="00A322EE"/>
    <w:rsid w:val="00A37925"/>
    <w:rsid w:val="00A51A72"/>
    <w:rsid w:val="00A735A7"/>
    <w:rsid w:val="00A739AA"/>
    <w:rsid w:val="00A81BFB"/>
    <w:rsid w:val="00A82810"/>
    <w:rsid w:val="00A85112"/>
    <w:rsid w:val="00A90565"/>
    <w:rsid w:val="00A919E6"/>
    <w:rsid w:val="00A96CBE"/>
    <w:rsid w:val="00A97E11"/>
    <w:rsid w:val="00AA43A1"/>
    <w:rsid w:val="00AB31F9"/>
    <w:rsid w:val="00AB54AA"/>
    <w:rsid w:val="00AB7D9D"/>
    <w:rsid w:val="00AC1BF0"/>
    <w:rsid w:val="00AD41DD"/>
    <w:rsid w:val="00AD4D5A"/>
    <w:rsid w:val="00AD5020"/>
    <w:rsid w:val="00AE4D65"/>
    <w:rsid w:val="00AE53BC"/>
    <w:rsid w:val="00AE7419"/>
    <w:rsid w:val="00AF1F1E"/>
    <w:rsid w:val="00AF3C24"/>
    <w:rsid w:val="00B2042D"/>
    <w:rsid w:val="00B254C5"/>
    <w:rsid w:val="00B34182"/>
    <w:rsid w:val="00B36780"/>
    <w:rsid w:val="00B6426F"/>
    <w:rsid w:val="00B65D3A"/>
    <w:rsid w:val="00B75E01"/>
    <w:rsid w:val="00BA0F15"/>
    <w:rsid w:val="00BA1DB2"/>
    <w:rsid w:val="00BB7072"/>
    <w:rsid w:val="00BC4088"/>
    <w:rsid w:val="00BC49D6"/>
    <w:rsid w:val="00BC5095"/>
    <w:rsid w:val="00BD20D7"/>
    <w:rsid w:val="00BD30B7"/>
    <w:rsid w:val="00BF153F"/>
    <w:rsid w:val="00BF7EB2"/>
    <w:rsid w:val="00BF7EB9"/>
    <w:rsid w:val="00C00B6C"/>
    <w:rsid w:val="00C1024B"/>
    <w:rsid w:val="00C1592C"/>
    <w:rsid w:val="00C2109A"/>
    <w:rsid w:val="00C26BAE"/>
    <w:rsid w:val="00C30B4D"/>
    <w:rsid w:val="00C32BA5"/>
    <w:rsid w:val="00C36066"/>
    <w:rsid w:val="00C3635C"/>
    <w:rsid w:val="00C36F47"/>
    <w:rsid w:val="00C3749B"/>
    <w:rsid w:val="00C45825"/>
    <w:rsid w:val="00C46FBE"/>
    <w:rsid w:val="00C47B6A"/>
    <w:rsid w:val="00C63560"/>
    <w:rsid w:val="00C63DBC"/>
    <w:rsid w:val="00C747B5"/>
    <w:rsid w:val="00C76C8B"/>
    <w:rsid w:val="00C76CDB"/>
    <w:rsid w:val="00C77C88"/>
    <w:rsid w:val="00C81A00"/>
    <w:rsid w:val="00C84FF9"/>
    <w:rsid w:val="00C858CA"/>
    <w:rsid w:val="00C85990"/>
    <w:rsid w:val="00CA12D0"/>
    <w:rsid w:val="00CA2D16"/>
    <w:rsid w:val="00CA44A2"/>
    <w:rsid w:val="00CB4CF1"/>
    <w:rsid w:val="00CC2A50"/>
    <w:rsid w:val="00CE232E"/>
    <w:rsid w:val="00CE5F49"/>
    <w:rsid w:val="00CE6262"/>
    <w:rsid w:val="00CF70E9"/>
    <w:rsid w:val="00D02570"/>
    <w:rsid w:val="00D0605A"/>
    <w:rsid w:val="00D17AA5"/>
    <w:rsid w:val="00D22112"/>
    <w:rsid w:val="00D30ED5"/>
    <w:rsid w:val="00D31903"/>
    <w:rsid w:val="00D343CE"/>
    <w:rsid w:val="00D34411"/>
    <w:rsid w:val="00D35B7F"/>
    <w:rsid w:val="00D3656B"/>
    <w:rsid w:val="00D44C96"/>
    <w:rsid w:val="00D53DC7"/>
    <w:rsid w:val="00D53E34"/>
    <w:rsid w:val="00D5720E"/>
    <w:rsid w:val="00D620BD"/>
    <w:rsid w:val="00D62A50"/>
    <w:rsid w:val="00D73903"/>
    <w:rsid w:val="00D83701"/>
    <w:rsid w:val="00D850D4"/>
    <w:rsid w:val="00D86186"/>
    <w:rsid w:val="00D92B76"/>
    <w:rsid w:val="00D95833"/>
    <w:rsid w:val="00DA0F60"/>
    <w:rsid w:val="00DB0D70"/>
    <w:rsid w:val="00DB1601"/>
    <w:rsid w:val="00DB58E4"/>
    <w:rsid w:val="00DB719A"/>
    <w:rsid w:val="00DC05EF"/>
    <w:rsid w:val="00DC07FD"/>
    <w:rsid w:val="00DC485D"/>
    <w:rsid w:val="00DC7C19"/>
    <w:rsid w:val="00DD2D83"/>
    <w:rsid w:val="00DD3263"/>
    <w:rsid w:val="00DD4084"/>
    <w:rsid w:val="00DD72CD"/>
    <w:rsid w:val="00DE25F1"/>
    <w:rsid w:val="00DE4DFF"/>
    <w:rsid w:val="00DE6107"/>
    <w:rsid w:val="00DE662A"/>
    <w:rsid w:val="00DE732C"/>
    <w:rsid w:val="00DF07F9"/>
    <w:rsid w:val="00DF1BA2"/>
    <w:rsid w:val="00E0005F"/>
    <w:rsid w:val="00E0046C"/>
    <w:rsid w:val="00E04249"/>
    <w:rsid w:val="00E077D7"/>
    <w:rsid w:val="00E104D1"/>
    <w:rsid w:val="00E10B44"/>
    <w:rsid w:val="00E159BE"/>
    <w:rsid w:val="00E20D42"/>
    <w:rsid w:val="00E2230B"/>
    <w:rsid w:val="00E24FC5"/>
    <w:rsid w:val="00E27154"/>
    <w:rsid w:val="00E27BC5"/>
    <w:rsid w:val="00E27E66"/>
    <w:rsid w:val="00E33020"/>
    <w:rsid w:val="00E36DA4"/>
    <w:rsid w:val="00E37D36"/>
    <w:rsid w:val="00E43980"/>
    <w:rsid w:val="00E43E38"/>
    <w:rsid w:val="00E47523"/>
    <w:rsid w:val="00E67C9F"/>
    <w:rsid w:val="00E71783"/>
    <w:rsid w:val="00E8070C"/>
    <w:rsid w:val="00E83540"/>
    <w:rsid w:val="00E86A56"/>
    <w:rsid w:val="00E91BEC"/>
    <w:rsid w:val="00EA03E1"/>
    <w:rsid w:val="00EA5286"/>
    <w:rsid w:val="00EB64E5"/>
    <w:rsid w:val="00EC0E2C"/>
    <w:rsid w:val="00EC5D58"/>
    <w:rsid w:val="00EC5E9C"/>
    <w:rsid w:val="00EC66F8"/>
    <w:rsid w:val="00EC7DB4"/>
    <w:rsid w:val="00ED1702"/>
    <w:rsid w:val="00ED2FBA"/>
    <w:rsid w:val="00EE6A6C"/>
    <w:rsid w:val="00EF0872"/>
    <w:rsid w:val="00F0187C"/>
    <w:rsid w:val="00F105F5"/>
    <w:rsid w:val="00F230E3"/>
    <w:rsid w:val="00F3138E"/>
    <w:rsid w:val="00F3308D"/>
    <w:rsid w:val="00F34AE3"/>
    <w:rsid w:val="00F37B65"/>
    <w:rsid w:val="00F4441D"/>
    <w:rsid w:val="00F46993"/>
    <w:rsid w:val="00F523EF"/>
    <w:rsid w:val="00F525B1"/>
    <w:rsid w:val="00F63F81"/>
    <w:rsid w:val="00F84223"/>
    <w:rsid w:val="00F9147C"/>
    <w:rsid w:val="00F9782E"/>
    <w:rsid w:val="00FA1319"/>
    <w:rsid w:val="00FA2C3B"/>
    <w:rsid w:val="00FA3077"/>
    <w:rsid w:val="00FA4F2B"/>
    <w:rsid w:val="00FB1B30"/>
    <w:rsid w:val="00FC4670"/>
    <w:rsid w:val="00FC4DCF"/>
    <w:rsid w:val="00FC5A3E"/>
    <w:rsid w:val="00FC5E45"/>
    <w:rsid w:val="00FC7152"/>
    <w:rsid w:val="00FD105F"/>
    <w:rsid w:val="00FE1050"/>
    <w:rsid w:val="00FF0514"/>
    <w:rsid w:val="00FF4EEE"/>
    <w:rsid w:val="00FF5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FA5B20-9607-4B49-AE84-1B7EB37D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03E"/>
  </w:style>
  <w:style w:type="paragraph" w:styleId="Heading1">
    <w:name w:val="heading 1"/>
    <w:basedOn w:val="Normal"/>
    <w:next w:val="Normal"/>
    <w:link w:val="Heading1Char"/>
    <w:uiPriority w:val="9"/>
    <w:qFormat/>
    <w:rsid w:val="006C0BB8"/>
    <w:pPr>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6C0BB8"/>
    <w:pPr>
      <w:pBdr>
        <w:top w:val="single" w:sz="24" w:space="0" w:color="D9DFEF" w:themeColor="accent1" w:themeTint="33"/>
        <w:left w:val="single" w:sz="24" w:space="0" w:color="D9DFEF" w:themeColor="accent1" w:themeTint="33"/>
        <w:bottom w:val="single" w:sz="24" w:space="0" w:color="D9DFEF" w:themeColor="accent1" w:themeTint="33"/>
        <w:right w:val="single" w:sz="24" w:space="0" w:color="D9DFEF" w:themeColor="accent1" w:themeTint="33"/>
      </w:pBdr>
      <w:shd w:val="clear" w:color="auto" w:fill="D9DFEF"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6C0BB8"/>
    <w:pPr>
      <w:pBdr>
        <w:top w:val="single" w:sz="6" w:space="2" w:color="4A66AC" w:themeColor="accent1"/>
      </w:pBdr>
      <w:spacing w:before="300" w:after="0"/>
      <w:outlineLvl w:val="2"/>
    </w:pPr>
    <w:rPr>
      <w:caps/>
      <w:color w:val="243255" w:themeColor="accent1" w:themeShade="7F"/>
      <w:spacing w:val="15"/>
    </w:rPr>
  </w:style>
  <w:style w:type="paragraph" w:styleId="Heading4">
    <w:name w:val="heading 4"/>
    <w:basedOn w:val="Normal"/>
    <w:next w:val="Normal"/>
    <w:link w:val="Heading4Char"/>
    <w:uiPriority w:val="9"/>
    <w:semiHidden/>
    <w:unhideWhenUsed/>
    <w:qFormat/>
    <w:rsid w:val="006C0BB8"/>
    <w:pPr>
      <w:pBdr>
        <w:top w:val="dotted" w:sz="6" w:space="2" w:color="4A66AC" w:themeColor="accent1"/>
      </w:pBdr>
      <w:spacing w:before="200" w:after="0"/>
      <w:outlineLvl w:val="3"/>
    </w:pPr>
    <w:rPr>
      <w:caps/>
      <w:color w:val="374C80" w:themeColor="accent1" w:themeShade="BF"/>
      <w:spacing w:val="10"/>
    </w:rPr>
  </w:style>
  <w:style w:type="paragraph" w:styleId="Heading5">
    <w:name w:val="heading 5"/>
    <w:basedOn w:val="Normal"/>
    <w:next w:val="Normal"/>
    <w:link w:val="Heading5Char"/>
    <w:uiPriority w:val="9"/>
    <w:semiHidden/>
    <w:unhideWhenUsed/>
    <w:qFormat/>
    <w:rsid w:val="006C0BB8"/>
    <w:pPr>
      <w:pBdr>
        <w:bottom w:val="single" w:sz="6" w:space="1" w:color="4A66AC" w:themeColor="accent1"/>
      </w:pBdr>
      <w:spacing w:before="200" w:after="0"/>
      <w:outlineLvl w:val="4"/>
    </w:pPr>
    <w:rPr>
      <w:caps/>
      <w:color w:val="374C80" w:themeColor="accent1" w:themeShade="BF"/>
      <w:spacing w:val="10"/>
    </w:rPr>
  </w:style>
  <w:style w:type="paragraph" w:styleId="Heading6">
    <w:name w:val="heading 6"/>
    <w:basedOn w:val="Normal"/>
    <w:next w:val="Normal"/>
    <w:link w:val="Heading6Char"/>
    <w:uiPriority w:val="9"/>
    <w:semiHidden/>
    <w:unhideWhenUsed/>
    <w:qFormat/>
    <w:rsid w:val="006C0BB8"/>
    <w:pPr>
      <w:pBdr>
        <w:bottom w:val="dotted" w:sz="6" w:space="1" w:color="4A66AC" w:themeColor="accent1"/>
      </w:pBdr>
      <w:spacing w:before="200" w:after="0"/>
      <w:outlineLvl w:val="5"/>
    </w:pPr>
    <w:rPr>
      <w:caps/>
      <w:color w:val="374C80" w:themeColor="accent1" w:themeShade="BF"/>
      <w:spacing w:val="10"/>
    </w:rPr>
  </w:style>
  <w:style w:type="paragraph" w:styleId="Heading7">
    <w:name w:val="heading 7"/>
    <w:basedOn w:val="Normal"/>
    <w:next w:val="Normal"/>
    <w:link w:val="Heading7Char"/>
    <w:uiPriority w:val="9"/>
    <w:semiHidden/>
    <w:unhideWhenUsed/>
    <w:qFormat/>
    <w:rsid w:val="006C0BB8"/>
    <w:pPr>
      <w:spacing w:before="200" w:after="0"/>
      <w:outlineLvl w:val="6"/>
    </w:pPr>
    <w:rPr>
      <w:caps/>
      <w:color w:val="374C80" w:themeColor="accent1" w:themeShade="BF"/>
      <w:spacing w:val="10"/>
    </w:rPr>
  </w:style>
  <w:style w:type="paragraph" w:styleId="Heading8">
    <w:name w:val="heading 8"/>
    <w:basedOn w:val="Normal"/>
    <w:next w:val="Normal"/>
    <w:link w:val="Heading8Char"/>
    <w:uiPriority w:val="9"/>
    <w:semiHidden/>
    <w:unhideWhenUsed/>
    <w:qFormat/>
    <w:rsid w:val="006C0BB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C0BB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B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5B90"/>
  </w:style>
  <w:style w:type="paragraph" w:styleId="Footer">
    <w:name w:val="footer"/>
    <w:basedOn w:val="Normal"/>
    <w:link w:val="FooterChar"/>
    <w:uiPriority w:val="99"/>
    <w:unhideWhenUsed/>
    <w:rsid w:val="008E5B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5B90"/>
  </w:style>
  <w:style w:type="paragraph" w:styleId="ListParagraph">
    <w:name w:val="List Paragraph"/>
    <w:basedOn w:val="Normal"/>
    <w:uiPriority w:val="34"/>
    <w:qFormat/>
    <w:rsid w:val="008E5B90"/>
    <w:pPr>
      <w:ind w:left="720"/>
      <w:contextualSpacing/>
    </w:pPr>
  </w:style>
  <w:style w:type="character" w:customStyle="1" w:styleId="Heading1Char">
    <w:name w:val="Heading 1 Char"/>
    <w:basedOn w:val="DefaultParagraphFont"/>
    <w:link w:val="Heading1"/>
    <w:uiPriority w:val="9"/>
    <w:rsid w:val="006C0BB8"/>
    <w:rPr>
      <w:caps/>
      <w:color w:val="FFFFFF" w:themeColor="background1"/>
      <w:spacing w:val="15"/>
      <w:sz w:val="22"/>
      <w:szCs w:val="22"/>
      <w:shd w:val="clear" w:color="auto" w:fill="4A66AC" w:themeFill="accent1"/>
    </w:rPr>
  </w:style>
  <w:style w:type="paragraph" w:styleId="TOCHeading">
    <w:name w:val="TOC Heading"/>
    <w:basedOn w:val="Heading1"/>
    <w:next w:val="Normal"/>
    <w:uiPriority w:val="39"/>
    <w:unhideWhenUsed/>
    <w:qFormat/>
    <w:rsid w:val="006C0BB8"/>
    <w:pPr>
      <w:outlineLvl w:val="9"/>
    </w:pPr>
  </w:style>
  <w:style w:type="character" w:customStyle="1" w:styleId="Heading2Char">
    <w:name w:val="Heading 2 Char"/>
    <w:basedOn w:val="DefaultParagraphFont"/>
    <w:link w:val="Heading2"/>
    <w:uiPriority w:val="9"/>
    <w:semiHidden/>
    <w:rsid w:val="006C0BB8"/>
    <w:rPr>
      <w:caps/>
      <w:spacing w:val="15"/>
      <w:shd w:val="clear" w:color="auto" w:fill="D9DFEF" w:themeFill="accent1" w:themeFillTint="33"/>
    </w:rPr>
  </w:style>
  <w:style w:type="character" w:customStyle="1" w:styleId="Heading3Char">
    <w:name w:val="Heading 3 Char"/>
    <w:basedOn w:val="DefaultParagraphFont"/>
    <w:link w:val="Heading3"/>
    <w:uiPriority w:val="9"/>
    <w:semiHidden/>
    <w:rsid w:val="006C0BB8"/>
    <w:rPr>
      <w:caps/>
      <w:color w:val="243255" w:themeColor="accent1" w:themeShade="7F"/>
      <w:spacing w:val="15"/>
    </w:rPr>
  </w:style>
  <w:style w:type="character" w:customStyle="1" w:styleId="Heading4Char">
    <w:name w:val="Heading 4 Char"/>
    <w:basedOn w:val="DefaultParagraphFont"/>
    <w:link w:val="Heading4"/>
    <w:uiPriority w:val="9"/>
    <w:semiHidden/>
    <w:rsid w:val="006C0BB8"/>
    <w:rPr>
      <w:caps/>
      <w:color w:val="374C80" w:themeColor="accent1" w:themeShade="BF"/>
      <w:spacing w:val="10"/>
    </w:rPr>
  </w:style>
  <w:style w:type="character" w:customStyle="1" w:styleId="Heading5Char">
    <w:name w:val="Heading 5 Char"/>
    <w:basedOn w:val="DefaultParagraphFont"/>
    <w:link w:val="Heading5"/>
    <w:uiPriority w:val="9"/>
    <w:semiHidden/>
    <w:rsid w:val="006C0BB8"/>
    <w:rPr>
      <w:caps/>
      <w:color w:val="374C80" w:themeColor="accent1" w:themeShade="BF"/>
      <w:spacing w:val="10"/>
    </w:rPr>
  </w:style>
  <w:style w:type="character" w:customStyle="1" w:styleId="Heading6Char">
    <w:name w:val="Heading 6 Char"/>
    <w:basedOn w:val="DefaultParagraphFont"/>
    <w:link w:val="Heading6"/>
    <w:uiPriority w:val="9"/>
    <w:semiHidden/>
    <w:rsid w:val="006C0BB8"/>
    <w:rPr>
      <w:caps/>
      <w:color w:val="374C80" w:themeColor="accent1" w:themeShade="BF"/>
      <w:spacing w:val="10"/>
    </w:rPr>
  </w:style>
  <w:style w:type="character" w:customStyle="1" w:styleId="Heading7Char">
    <w:name w:val="Heading 7 Char"/>
    <w:basedOn w:val="DefaultParagraphFont"/>
    <w:link w:val="Heading7"/>
    <w:uiPriority w:val="9"/>
    <w:semiHidden/>
    <w:rsid w:val="006C0BB8"/>
    <w:rPr>
      <w:caps/>
      <w:color w:val="374C80" w:themeColor="accent1" w:themeShade="BF"/>
      <w:spacing w:val="10"/>
    </w:rPr>
  </w:style>
  <w:style w:type="character" w:customStyle="1" w:styleId="Heading8Char">
    <w:name w:val="Heading 8 Char"/>
    <w:basedOn w:val="DefaultParagraphFont"/>
    <w:link w:val="Heading8"/>
    <w:uiPriority w:val="9"/>
    <w:semiHidden/>
    <w:rsid w:val="006C0BB8"/>
    <w:rPr>
      <w:caps/>
      <w:spacing w:val="10"/>
      <w:sz w:val="18"/>
      <w:szCs w:val="18"/>
    </w:rPr>
  </w:style>
  <w:style w:type="character" w:customStyle="1" w:styleId="Heading9Char">
    <w:name w:val="Heading 9 Char"/>
    <w:basedOn w:val="DefaultParagraphFont"/>
    <w:link w:val="Heading9"/>
    <w:uiPriority w:val="9"/>
    <w:semiHidden/>
    <w:rsid w:val="006C0BB8"/>
    <w:rPr>
      <w:i/>
      <w:iCs/>
      <w:caps/>
      <w:spacing w:val="10"/>
      <w:sz w:val="18"/>
      <w:szCs w:val="18"/>
    </w:rPr>
  </w:style>
  <w:style w:type="paragraph" w:styleId="TOC1">
    <w:name w:val="toc 1"/>
    <w:basedOn w:val="Normal"/>
    <w:next w:val="Normal"/>
    <w:autoRedefine/>
    <w:uiPriority w:val="39"/>
    <w:unhideWhenUsed/>
    <w:rsid w:val="001753C6"/>
    <w:pPr>
      <w:tabs>
        <w:tab w:val="left" w:pos="440"/>
        <w:tab w:val="right" w:leader="dot" w:pos="9016"/>
      </w:tabs>
      <w:spacing w:before="240" w:after="60"/>
      <w:ind w:left="425" w:hanging="425"/>
    </w:pPr>
    <w:rPr>
      <w:rFonts w:ascii="Calibri" w:hAnsi="Calibri"/>
      <w:sz w:val="24"/>
    </w:rPr>
  </w:style>
  <w:style w:type="character" w:styleId="Hyperlink">
    <w:name w:val="Hyperlink"/>
    <w:basedOn w:val="DefaultParagraphFont"/>
    <w:uiPriority w:val="99"/>
    <w:unhideWhenUsed/>
    <w:rsid w:val="008E5B90"/>
    <w:rPr>
      <w:color w:val="9454C3" w:themeColor="hyperlink"/>
      <w:u w:val="single"/>
    </w:rPr>
  </w:style>
  <w:style w:type="paragraph" w:styleId="EndnoteText">
    <w:name w:val="endnote text"/>
    <w:basedOn w:val="Normal"/>
    <w:link w:val="EndnoteTextChar"/>
    <w:uiPriority w:val="99"/>
    <w:semiHidden/>
    <w:unhideWhenUsed/>
    <w:rsid w:val="008E5B90"/>
    <w:pPr>
      <w:spacing w:after="0" w:line="240" w:lineRule="auto"/>
    </w:pPr>
  </w:style>
  <w:style w:type="character" w:customStyle="1" w:styleId="EndnoteTextChar">
    <w:name w:val="Endnote Text Char"/>
    <w:basedOn w:val="DefaultParagraphFont"/>
    <w:link w:val="EndnoteText"/>
    <w:uiPriority w:val="99"/>
    <w:semiHidden/>
    <w:rsid w:val="008E5B90"/>
    <w:rPr>
      <w:sz w:val="20"/>
      <w:szCs w:val="20"/>
    </w:rPr>
  </w:style>
  <w:style w:type="character" w:styleId="EndnoteReference">
    <w:name w:val="endnote reference"/>
    <w:basedOn w:val="DefaultParagraphFont"/>
    <w:uiPriority w:val="99"/>
    <w:semiHidden/>
    <w:unhideWhenUsed/>
    <w:rsid w:val="008E5B90"/>
    <w:rPr>
      <w:vertAlign w:val="superscript"/>
    </w:rPr>
  </w:style>
  <w:style w:type="paragraph" w:styleId="FootnoteText">
    <w:name w:val="footnote text"/>
    <w:basedOn w:val="Normal"/>
    <w:link w:val="FootnoteTextChar"/>
    <w:uiPriority w:val="99"/>
    <w:semiHidden/>
    <w:unhideWhenUsed/>
    <w:rsid w:val="008E5B90"/>
    <w:pPr>
      <w:spacing w:after="0" w:line="240" w:lineRule="auto"/>
    </w:pPr>
  </w:style>
  <w:style w:type="character" w:customStyle="1" w:styleId="FootnoteTextChar">
    <w:name w:val="Footnote Text Char"/>
    <w:basedOn w:val="DefaultParagraphFont"/>
    <w:link w:val="FootnoteText"/>
    <w:uiPriority w:val="99"/>
    <w:semiHidden/>
    <w:rsid w:val="008E5B90"/>
    <w:rPr>
      <w:sz w:val="20"/>
      <w:szCs w:val="20"/>
    </w:rPr>
  </w:style>
  <w:style w:type="character" w:styleId="FootnoteReference">
    <w:name w:val="footnote reference"/>
    <w:basedOn w:val="DefaultParagraphFont"/>
    <w:uiPriority w:val="99"/>
    <w:semiHidden/>
    <w:unhideWhenUsed/>
    <w:rsid w:val="008E5B90"/>
    <w:rPr>
      <w:vertAlign w:val="superscript"/>
    </w:rPr>
  </w:style>
  <w:style w:type="character" w:styleId="FollowedHyperlink">
    <w:name w:val="FollowedHyperlink"/>
    <w:basedOn w:val="DefaultParagraphFont"/>
    <w:uiPriority w:val="99"/>
    <w:semiHidden/>
    <w:unhideWhenUsed/>
    <w:rsid w:val="008E5B90"/>
    <w:rPr>
      <w:color w:val="3EBBF0" w:themeColor="followedHyperlink"/>
      <w:u w:val="single"/>
    </w:rPr>
  </w:style>
  <w:style w:type="paragraph" w:styleId="Caption">
    <w:name w:val="caption"/>
    <w:basedOn w:val="Normal"/>
    <w:next w:val="Normal"/>
    <w:uiPriority w:val="35"/>
    <w:semiHidden/>
    <w:unhideWhenUsed/>
    <w:qFormat/>
    <w:rsid w:val="006C0BB8"/>
    <w:rPr>
      <w:b/>
      <w:bCs/>
      <w:color w:val="374C80" w:themeColor="accent1" w:themeShade="BF"/>
      <w:sz w:val="16"/>
      <w:szCs w:val="16"/>
    </w:rPr>
  </w:style>
  <w:style w:type="paragraph" w:styleId="Title">
    <w:name w:val="Title"/>
    <w:basedOn w:val="Normal"/>
    <w:next w:val="Normal"/>
    <w:link w:val="TitleChar"/>
    <w:uiPriority w:val="10"/>
    <w:qFormat/>
    <w:rsid w:val="006C0BB8"/>
    <w:pPr>
      <w:spacing w:before="0" w:after="0"/>
    </w:pPr>
    <w:rPr>
      <w:rFonts w:asciiTheme="majorHAnsi" w:eastAsiaTheme="majorEastAsia" w:hAnsiTheme="majorHAnsi" w:cstheme="majorBidi"/>
      <w:caps/>
      <w:color w:val="4A66AC" w:themeColor="accent1"/>
      <w:spacing w:val="10"/>
      <w:sz w:val="52"/>
      <w:szCs w:val="52"/>
    </w:rPr>
  </w:style>
  <w:style w:type="character" w:customStyle="1" w:styleId="TitleChar">
    <w:name w:val="Title Char"/>
    <w:basedOn w:val="DefaultParagraphFont"/>
    <w:link w:val="Title"/>
    <w:uiPriority w:val="10"/>
    <w:rsid w:val="006C0BB8"/>
    <w:rPr>
      <w:rFonts w:asciiTheme="majorHAnsi" w:eastAsiaTheme="majorEastAsia" w:hAnsiTheme="majorHAnsi" w:cstheme="majorBidi"/>
      <w:caps/>
      <w:color w:val="4A66AC" w:themeColor="accent1"/>
      <w:spacing w:val="10"/>
      <w:sz w:val="52"/>
      <w:szCs w:val="52"/>
    </w:rPr>
  </w:style>
  <w:style w:type="paragraph" w:styleId="Subtitle">
    <w:name w:val="Subtitle"/>
    <w:basedOn w:val="Normal"/>
    <w:next w:val="Normal"/>
    <w:link w:val="SubtitleChar"/>
    <w:uiPriority w:val="11"/>
    <w:qFormat/>
    <w:rsid w:val="006C0BB8"/>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6C0BB8"/>
    <w:rPr>
      <w:caps/>
      <w:color w:val="595959" w:themeColor="text1" w:themeTint="A6"/>
      <w:spacing w:val="10"/>
      <w:sz w:val="21"/>
      <w:szCs w:val="21"/>
    </w:rPr>
  </w:style>
  <w:style w:type="character" w:styleId="Strong">
    <w:name w:val="Strong"/>
    <w:uiPriority w:val="22"/>
    <w:qFormat/>
    <w:rsid w:val="006C0BB8"/>
    <w:rPr>
      <w:b/>
      <w:bCs/>
    </w:rPr>
  </w:style>
  <w:style w:type="character" w:styleId="Emphasis">
    <w:name w:val="Emphasis"/>
    <w:uiPriority w:val="20"/>
    <w:qFormat/>
    <w:rsid w:val="006C0BB8"/>
    <w:rPr>
      <w:caps/>
      <w:color w:val="243255" w:themeColor="accent1" w:themeShade="7F"/>
      <w:spacing w:val="5"/>
    </w:rPr>
  </w:style>
  <w:style w:type="paragraph" w:styleId="NoSpacing">
    <w:name w:val="No Spacing"/>
    <w:uiPriority w:val="1"/>
    <w:qFormat/>
    <w:rsid w:val="006C0BB8"/>
    <w:pPr>
      <w:spacing w:after="0" w:line="240" w:lineRule="auto"/>
    </w:pPr>
  </w:style>
  <w:style w:type="paragraph" w:styleId="Quote">
    <w:name w:val="Quote"/>
    <w:basedOn w:val="Normal"/>
    <w:next w:val="Normal"/>
    <w:link w:val="QuoteChar"/>
    <w:uiPriority w:val="29"/>
    <w:qFormat/>
    <w:rsid w:val="006C0BB8"/>
    <w:rPr>
      <w:i/>
      <w:iCs/>
      <w:sz w:val="24"/>
      <w:szCs w:val="24"/>
    </w:rPr>
  </w:style>
  <w:style w:type="character" w:customStyle="1" w:styleId="QuoteChar">
    <w:name w:val="Quote Char"/>
    <w:basedOn w:val="DefaultParagraphFont"/>
    <w:link w:val="Quote"/>
    <w:uiPriority w:val="29"/>
    <w:rsid w:val="006C0BB8"/>
    <w:rPr>
      <w:i/>
      <w:iCs/>
      <w:sz w:val="24"/>
      <w:szCs w:val="24"/>
    </w:rPr>
  </w:style>
  <w:style w:type="paragraph" w:styleId="IntenseQuote">
    <w:name w:val="Intense Quote"/>
    <w:basedOn w:val="Normal"/>
    <w:next w:val="Normal"/>
    <w:link w:val="IntenseQuoteChar"/>
    <w:uiPriority w:val="30"/>
    <w:qFormat/>
    <w:rsid w:val="006C0BB8"/>
    <w:pPr>
      <w:spacing w:before="240" w:after="240" w:line="240" w:lineRule="auto"/>
      <w:ind w:left="1080" w:right="1080"/>
      <w:jc w:val="center"/>
    </w:pPr>
    <w:rPr>
      <w:color w:val="4A66AC" w:themeColor="accent1"/>
      <w:sz w:val="24"/>
      <w:szCs w:val="24"/>
    </w:rPr>
  </w:style>
  <w:style w:type="character" w:customStyle="1" w:styleId="IntenseQuoteChar">
    <w:name w:val="Intense Quote Char"/>
    <w:basedOn w:val="DefaultParagraphFont"/>
    <w:link w:val="IntenseQuote"/>
    <w:uiPriority w:val="30"/>
    <w:rsid w:val="006C0BB8"/>
    <w:rPr>
      <w:color w:val="4A66AC" w:themeColor="accent1"/>
      <w:sz w:val="24"/>
      <w:szCs w:val="24"/>
    </w:rPr>
  </w:style>
  <w:style w:type="character" w:styleId="SubtleEmphasis">
    <w:name w:val="Subtle Emphasis"/>
    <w:uiPriority w:val="19"/>
    <w:qFormat/>
    <w:rsid w:val="006C0BB8"/>
    <w:rPr>
      <w:i/>
      <w:iCs/>
      <w:color w:val="243255" w:themeColor="accent1" w:themeShade="7F"/>
    </w:rPr>
  </w:style>
  <w:style w:type="character" w:styleId="IntenseEmphasis">
    <w:name w:val="Intense Emphasis"/>
    <w:uiPriority w:val="21"/>
    <w:qFormat/>
    <w:rsid w:val="006C0BB8"/>
    <w:rPr>
      <w:b/>
      <w:bCs/>
      <w:caps/>
      <w:color w:val="243255" w:themeColor="accent1" w:themeShade="7F"/>
      <w:spacing w:val="10"/>
    </w:rPr>
  </w:style>
  <w:style w:type="character" w:styleId="SubtleReference">
    <w:name w:val="Subtle Reference"/>
    <w:uiPriority w:val="31"/>
    <w:qFormat/>
    <w:rsid w:val="006C0BB8"/>
    <w:rPr>
      <w:b/>
      <w:bCs/>
      <w:color w:val="4A66AC" w:themeColor="accent1"/>
    </w:rPr>
  </w:style>
  <w:style w:type="character" w:styleId="IntenseReference">
    <w:name w:val="Intense Reference"/>
    <w:uiPriority w:val="32"/>
    <w:qFormat/>
    <w:rsid w:val="006C0BB8"/>
    <w:rPr>
      <w:b/>
      <w:bCs/>
      <w:i/>
      <w:iCs/>
      <w:caps/>
      <w:color w:val="4A66AC" w:themeColor="accent1"/>
    </w:rPr>
  </w:style>
  <w:style w:type="character" w:styleId="BookTitle">
    <w:name w:val="Book Title"/>
    <w:uiPriority w:val="33"/>
    <w:qFormat/>
    <w:rsid w:val="006C0BB8"/>
    <w:rPr>
      <w:b/>
      <w:bCs/>
      <w:i/>
      <w:iCs/>
      <w:spacing w:val="0"/>
    </w:rPr>
  </w:style>
  <w:style w:type="table" w:styleId="TableGrid">
    <w:name w:val="Table Grid"/>
    <w:basedOn w:val="TableNormal"/>
    <w:uiPriority w:val="39"/>
    <w:rsid w:val="00665EF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9E04BB"/>
    <w:pPr>
      <w:tabs>
        <w:tab w:val="right" w:pos="1134"/>
        <w:tab w:val="right" w:leader="dot" w:pos="9016"/>
      </w:tabs>
      <w:spacing w:before="0" w:after="100" w:line="259" w:lineRule="auto"/>
      <w:ind w:left="964" w:right="57" w:hanging="567"/>
    </w:pPr>
    <w:rPr>
      <w:rFonts w:ascii="Cambria" w:hAnsi="Cambria" w:cs="Times New Roman"/>
      <w:sz w:val="22"/>
      <w:szCs w:val="22"/>
      <w:lang w:val="en-US"/>
    </w:rPr>
  </w:style>
  <w:style w:type="paragraph" w:styleId="TOC3">
    <w:name w:val="toc 3"/>
    <w:basedOn w:val="Normal"/>
    <w:next w:val="Normal"/>
    <w:autoRedefine/>
    <w:uiPriority w:val="39"/>
    <w:unhideWhenUsed/>
    <w:rsid w:val="00C85990"/>
    <w:pPr>
      <w:spacing w:before="0" w:after="100" w:line="259" w:lineRule="auto"/>
      <w:ind w:left="440"/>
    </w:pPr>
    <w:rPr>
      <w:rFonts w:cs="Times New Roman"/>
      <w:sz w:val="22"/>
      <w:szCs w:val="22"/>
      <w:lang w:val="en-US"/>
    </w:rPr>
  </w:style>
  <w:style w:type="character" w:customStyle="1" w:styleId="apple-converted-space">
    <w:name w:val="apple-converted-space"/>
    <w:basedOn w:val="DefaultParagraphFont"/>
    <w:rsid w:val="00DB1601"/>
  </w:style>
  <w:style w:type="character" w:styleId="CommentReference">
    <w:name w:val="annotation reference"/>
    <w:basedOn w:val="DefaultParagraphFont"/>
    <w:uiPriority w:val="99"/>
    <w:semiHidden/>
    <w:unhideWhenUsed/>
    <w:rsid w:val="00737F74"/>
    <w:rPr>
      <w:sz w:val="16"/>
      <w:szCs w:val="16"/>
    </w:rPr>
  </w:style>
  <w:style w:type="paragraph" w:styleId="CommentText">
    <w:name w:val="annotation text"/>
    <w:basedOn w:val="Normal"/>
    <w:link w:val="CommentTextChar"/>
    <w:uiPriority w:val="99"/>
    <w:semiHidden/>
    <w:unhideWhenUsed/>
    <w:rsid w:val="00737F74"/>
    <w:pPr>
      <w:spacing w:line="240" w:lineRule="auto"/>
    </w:pPr>
  </w:style>
  <w:style w:type="character" w:customStyle="1" w:styleId="CommentTextChar">
    <w:name w:val="Comment Text Char"/>
    <w:basedOn w:val="DefaultParagraphFont"/>
    <w:link w:val="CommentText"/>
    <w:uiPriority w:val="99"/>
    <w:semiHidden/>
    <w:rsid w:val="00737F74"/>
  </w:style>
  <w:style w:type="paragraph" w:styleId="CommentSubject">
    <w:name w:val="annotation subject"/>
    <w:basedOn w:val="CommentText"/>
    <w:next w:val="CommentText"/>
    <w:link w:val="CommentSubjectChar"/>
    <w:uiPriority w:val="99"/>
    <w:semiHidden/>
    <w:unhideWhenUsed/>
    <w:rsid w:val="00737F74"/>
    <w:rPr>
      <w:b/>
      <w:bCs/>
    </w:rPr>
  </w:style>
  <w:style w:type="character" w:customStyle="1" w:styleId="CommentSubjectChar">
    <w:name w:val="Comment Subject Char"/>
    <w:basedOn w:val="CommentTextChar"/>
    <w:link w:val="CommentSubject"/>
    <w:uiPriority w:val="99"/>
    <w:semiHidden/>
    <w:rsid w:val="00737F74"/>
    <w:rPr>
      <w:b/>
      <w:bCs/>
    </w:rPr>
  </w:style>
  <w:style w:type="paragraph" w:styleId="BalloonText">
    <w:name w:val="Balloon Text"/>
    <w:basedOn w:val="Normal"/>
    <w:link w:val="BalloonTextChar"/>
    <w:uiPriority w:val="99"/>
    <w:semiHidden/>
    <w:unhideWhenUsed/>
    <w:rsid w:val="00737F7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7F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8744">
      <w:bodyDiv w:val="1"/>
      <w:marLeft w:val="0"/>
      <w:marRight w:val="0"/>
      <w:marTop w:val="0"/>
      <w:marBottom w:val="0"/>
      <w:divBdr>
        <w:top w:val="none" w:sz="0" w:space="0" w:color="auto"/>
        <w:left w:val="none" w:sz="0" w:space="0" w:color="auto"/>
        <w:bottom w:val="none" w:sz="0" w:space="0" w:color="auto"/>
        <w:right w:val="none" w:sz="0" w:space="0" w:color="auto"/>
      </w:divBdr>
    </w:div>
    <w:div w:id="54283765">
      <w:bodyDiv w:val="1"/>
      <w:marLeft w:val="0"/>
      <w:marRight w:val="0"/>
      <w:marTop w:val="0"/>
      <w:marBottom w:val="0"/>
      <w:divBdr>
        <w:top w:val="none" w:sz="0" w:space="0" w:color="auto"/>
        <w:left w:val="none" w:sz="0" w:space="0" w:color="auto"/>
        <w:bottom w:val="none" w:sz="0" w:space="0" w:color="auto"/>
        <w:right w:val="none" w:sz="0" w:space="0" w:color="auto"/>
      </w:divBdr>
      <w:divsChild>
        <w:div w:id="619453989">
          <w:marLeft w:val="0"/>
          <w:marRight w:val="0"/>
          <w:marTop w:val="60"/>
          <w:marBottom w:val="60"/>
          <w:divBdr>
            <w:top w:val="none" w:sz="0" w:space="0" w:color="auto"/>
            <w:left w:val="none" w:sz="0" w:space="0" w:color="auto"/>
            <w:bottom w:val="none" w:sz="0" w:space="0" w:color="auto"/>
            <w:right w:val="none" w:sz="0" w:space="0" w:color="auto"/>
          </w:divBdr>
        </w:div>
        <w:div w:id="82535270">
          <w:marLeft w:val="0"/>
          <w:marRight w:val="0"/>
          <w:marTop w:val="60"/>
          <w:marBottom w:val="60"/>
          <w:divBdr>
            <w:top w:val="none" w:sz="0" w:space="0" w:color="auto"/>
            <w:left w:val="none" w:sz="0" w:space="0" w:color="auto"/>
            <w:bottom w:val="none" w:sz="0" w:space="0" w:color="auto"/>
            <w:right w:val="none" w:sz="0" w:space="0" w:color="auto"/>
          </w:divBdr>
        </w:div>
        <w:div w:id="1698390226">
          <w:marLeft w:val="0"/>
          <w:marRight w:val="0"/>
          <w:marTop w:val="0"/>
          <w:marBottom w:val="0"/>
          <w:divBdr>
            <w:top w:val="none" w:sz="0" w:space="0" w:color="auto"/>
            <w:left w:val="none" w:sz="0" w:space="0" w:color="auto"/>
            <w:bottom w:val="none" w:sz="0" w:space="0" w:color="auto"/>
            <w:right w:val="none" w:sz="0" w:space="0" w:color="auto"/>
          </w:divBdr>
        </w:div>
        <w:div w:id="1982270468">
          <w:marLeft w:val="0"/>
          <w:marRight w:val="0"/>
          <w:marTop w:val="60"/>
          <w:marBottom w:val="60"/>
          <w:divBdr>
            <w:top w:val="none" w:sz="0" w:space="0" w:color="auto"/>
            <w:left w:val="none" w:sz="0" w:space="0" w:color="auto"/>
            <w:bottom w:val="none" w:sz="0" w:space="0" w:color="auto"/>
            <w:right w:val="none" w:sz="0" w:space="0" w:color="auto"/>
          </w:divBdr>
        </w:div>
        <w:div w:id="277488864">
          <w:marLeft w:val="0"/>
          <w:marRight w:val="0"/>
          <w:marTop w:val="60"/>
          <w:marBottom w:val="60"/>
          <w:divBdr>
            <w:top w:val="none" w:sz="0" w:space="0" w:color="auto"/>
            <w:left w:val="none" w:sz="0" w:space="0" w:color="auto"/>
            <w:bottom w:val="none" w:sz="0" w:space="0" w:color="auto"/>
            <w:right w:val="none" w:sz="0" w:space="0" w:color="auto"/>
          </w:divBdr>
        </w:div>
        <w:div w:id="1114903470">
          <w:marLeft w:val="0"/>
          <w:marRight w:val="0"/>
          <w:marTop w:val="60"/>
          <w:marBottom w:val="60"/>
          <w:divBdr>
            <w:top w:val="none" w:sz="0" w:space="0" w:color="auto"/>
            <w:left w:val="none" w:sz="0" w:space="0" w:color="auto"/>
            <w:bottom w:val="none" w:sz="0" w:space="0" w:color="auto"/>
            <w:right w:val="none" w:sz="0" w:space="0" w:color="auto"/>
          </w:divBdr>
        </w:div>
        <w:div w:id="221327939">
          <w:marLeft w:val="0"/>
          <w:marRight w:val="0"/>
          <w:marTop w:val="60"/>
          <w:marBottom w:val="60"/>
          <w:divBdr>
            <w:top w:val="none" w:sz="0" w:space="0" w:color="auto"/>
            <w:left w:val="none" w:sz="0" w:space="0" w:color="auto"/>
            <w:bottom w:val="none" w:sz="0" w:space="0" w:color="auto"/>
            <w:right w:val="none" w:sz="0" w:space="0" w:color="auto"/>
          </w:divBdr>
        </w:div>
        <w:div w:id="1480421385">
          <w:marLeft w:val="0"/>
          <w:marRight w:val="0"/>
          <w:marTop w:val="0"/>
          <w:marBottom w:val="0"/>
          <w:divBdr>
            <w:top w:val="none" w:sz="0" w:space="0" w:color="auto"/>
            <w:left w:val="none" w:sz="0" w:space="0" w:color="auto"/>
            <w:bottom w:val="none" w:sz="0" w:space="0" w:color="auto"/>
            <w:right w:val="none" w:sz="0" w:space="0" w:color="auto"/>
          </w:divBdr>
        </w:div>
        <w:div w:id="884028232">
          <w:marLeft w:val="0"/>
          <w:marRight w:val="0"/>
          <w:marTop w:val="0"/>
          <w:marBottom w:val="0"/>
          <w:divBdr>
            <w:top w:val="none" w:sz="0" w:space="0" w:color="auto"/>
            <w:left w:val="none" w:sz="0" w:space="0" w:color="auto"/>
            <w:bottom w:val="none" w:sz="0" w:space="0" w:color="auto"/>
            <w:right w:val="none" w:sz="0" w:space="0" w:color="auto"/>
          </w:divBdr>
        </w:div>
        <w:div w:id="2072999943">
          <w:marLeft w:val="0"/>
          <w:marRight w:val="0"/>
          <w:marTop w:val="0"/>
          <w:marBottom w:val="0"/>
          <w:divBdr>
            <w:top w:val="none" w:sz="0" w:space="0" w:color="auto"/>
            <w:left w:val="none" w:sz="0" w:space="0" w:color="auto"/>
            <w:bottom w:val="none" w:sz="0" w:space="0" w:color="auto"/>
            <w:right w:val="none" w:sz="0" w:space="0" w:color="auto"/>
          </w:divBdr>
        </w:div>
        <w:div w:id="1192767027">
          <w:marLeft w:val="0"/>
          <w:marRight w:val="0"/>
          <w:marTop w:val="0"/>
          <w:marBottom w:val="0"/>
          <w:divBdr>
            <w:top w:val="none" w:sz="0" w:space="0" w:color="auto"/>
            <w:left w:val="none" w:sz="0" w:space="0" w:color="auto"/>
            <w:bottom w:val="none" w:sz="0" w:space="0" w:color="auto"/>
            <w:right w:val="none" w:sz="0" w:space="0" w:color="auto"/>
          </w:divBdr>
        </w:div>
        <w:div w:id="1855611895">
          <w:marLeft w:val="0"/>
          <w:marRight w:val="0"/>
          <w:marTop w:val="0"/>
          <w:marBottom w:val="0"/>
          <w:divBdr>
            <w:top w:val="none" w:sz="0" w:space="0" w:color="auto"/>
            <w:left w:val="none" w:sz="0" w:space="0" w:color="auto"/>
            <w:bottom w:val="none" w:sz="0" w:space="0" w:color="auto"/>
            <w:right w:val="none" w:sz="0" w:space="0" w:color="auto"/>
          </w:divBdr>
        </w:div>
        <w:div w:id="225455558">
          <w:marLeft w:val="0"/>
          <w:marRight w:val="0"/>
          <w:marTop w:val="0"/>
          <w:marBottom w:val="0"/>
          <w:divBdr>
            <w:top w:val="none" w:sz="0" w:space="0" w:color="auto"/>
            <w:left w:val="none" w:sz="0" w:space="0" w:color="auto"/>
            <w:bottom w:val="none" w:sz="0" w:space="0" w:color="auto"/>
            <w:right w:val="none" w:sz="0" w:space="0" w:color="auto"/>
          </w:divBdr>
        </w:div>
        <w:div w:id="261381819">
          <w:marLeft w:val="0"/>
          <w:marRight w:val="0"/>
          <w:marTop w:val="0"/>
          <w:marBottom w:val="0"/>
          <w:divBdr>
            <w:top w:val="none" w:sz="0" w:space="0" w:color="auto"/>
            <w:left w:val="none" w:sz="0" w:space="0" w:color="auto"/>
            <w:bottom w:val="none" w:sz="0" w:space="0" w:color="auto"/>
            <w:right w:val="none" w:sz="0" w:space="0" w:color="auto"/>
          </w:divBdr>
        </w:div>
        <w:div w:id="1642465797">
          <w:marLeft w:val="0"/>
          <w:marRight w:val="0"/>
          <w:marTop w:val="0"/>
          <w:marBottom w:val="200"/>
          <w:divBdr>
            <w:top w:val="none" w:sz="0" w:space="0" w:color="auto"/>
            <w:left w:val="none" w:sz="0" w:space="0" w:color="auto"/>
            <w:bottom w:val="none" w:sz="0" w:space="0" w:color="auto"/>
            <w:right w:val="none" w:sz="0" w:space="0" w:color="auto"/>
          </w:divBdr>
        </w:div>
        <w:div w:id="1844542316">
          <w:marLeft w:val="0"/>
          <w:marRight w:val="0"/>
          <w:marTop w:val="0"/>
          <w:marBottom w:val="200"/>
          <w:divBdr>
            <w:top w:val="none" w:sz="0" w:space="0" w:color="auto"/>
            <w:left w:val="none" w:sz="0" w:space="0" w:color="auto"/>
            <w:bottom w:val="none" w:sz="0" w:space="0" w:color="auto"/>
            <w:right w:val="none" w:sz="0" w:space="0" w:color="auto"/>
          </w:divBdr>
        </w:div>
      </w:divsChild>
    </w:div>
    <w:div w:id="170032529">
      <w:bodyDiv w:val="1"/>
      <w:marLeft w:val="0"/>
      <w:marRight w:val="0"/>
      <w:marTop w:val="0"/>
      <w:marBottom w:val="0"/>
      <w:divBdr>
        <w:top w:val="none" w:sz="0" w:space="0" w:color="auto"/>
        <w:left w:val="none" w:sz="0" w:space="0" w:color="auto"/>
        <w:bottom w:val="none" w:sz="0" w:space="0" w:color="auto"/>
        <w:right w:val="none" w:sz="0" w:space="0" w:color="auto"/>
      </w:divBdr>
    </w:div>
    <w:div w:id="261299160">
      <w:bodyDiv w:val="1"/>
      <w:marLeft w:val="0"/>
      <w:marRight w:val="0"/>
      <w:marTop w:val="0"/>
      <w:marBottom w:val="0"/>
      <w:divBdr>
        <w:top w:val="none" w:sz="0" w:space="0" w:color="auto"/>
        <w:left w:val="none" w:sz="0" w:space="0" w:color="auto"/>
        <w:bottom w:val="none" w:sz="0" w:space="0" w:color="auto"/>
        <w:right w:val="none" w:sz="0" w:space="0" w:color="auto"/>
      </w:divBdr>
    </w:div>
    <w:div w:id="316107938">
      <w:bodyDiv w:val="1"/>
      <w:marLeft w:val="0"/>
      <w:marRight w:val="0"/>
      <w:marTop w:val="0"/>
      <w:marBottom w:val="0"/>
      <w:divBdr>
        <w:top w:val="none" w:sz="0" w:space="0" w:color="auto"/>
        <w:left w:val="none" w:sz="0" w:space="0" w:color="auto"/>
        <w:bottom w:val="none" w:sz="0" w:space="0" w:color="auto"/>
        <w:right w:val="none" w:sz="0" w:space="0" w:color="auto"/>
      </w:divBdr>
    </w:div>
    <w:div w:id="411706049">
      <w:bodyDiv w:val="1"/>
      <w:marLeft w:val="0"/>
      <w:marRight w:val="0"/>
      <w:marTop w:val="0"/>
      <w:marBottom w:val="0"/>
      <w:divBdr>
        <w:top w:val="none" w:sz="0" w:space="0" w:color="auto"/>
        <w:left w:val="none" w:sz="0" w:space="0" w:color="auto"/>
        <w:bottom w:val="none" w:sz="0" w:space="0" w:color="auto"/>
        <w:right w:val="none" w:sz="0" w:space="0" w:color="auto"/>
      </w:divBdr>
    </w:div>
    <w:div w:id="459347141">
      <w:bodyDiv w:val="1"/>
      <w:marLeft w:val="0"/>
      <w:marRight w:val="0"/>
      <w:marTop w:val="0"/>
      <w:marBottom w:val="0"/>
      <w:divBdr>
        <w:top w:val="none" w:sz="0" w:space="0" w:color="auto"/>
        <w:left w:val="none" w:sz="0" w:space="0" w:color="auto"/>
        <w:bottom w:val="none" w:sz="0" w:space="0" w:color="auto"/>
        <w:right w:val="none" w:sz="0" w:space="0" w:color="auto"/>
      </w:divBdr>
    </w:div>
    <w:div w:id="545993532">
      <w:bodyDiv w:val="1"/>
      <w:marLeft w:val="0"/>
      <w:marRight w:val="0"/>
      <w:marTop w:val="0"/>
      <w:marBottom w:val="0"/>
      <w:divBdr>
        <w:top w:val="none" w:sz="0" w:space="0" w:color="auto"/>
        <w:left w:val="none" w:sz="0" w:space="0" w:color="auto"/>
        <w:bottom w:val="none" w:sz="0" w:space="0" w:color="auto"/>
        <w:right w:val="none" w:sz="0" w:space="0" w:color="auto"/>
      </w:divBdr>
    </w:div>
    <w:div w:id="788821796">
      <w:bodyDiv w:val="1"/>
      <w:marLeft w:val="0"/>
      <w:marRight w:val="0"/>
      <w:marTop w:val="0"/>
      <w:marBottom w:val="0"/>
      <w:divBdr>
        <w:top w:val="none" w:sz="0" w:space="0" w:color="auto"/>
        <w:left w:val="none" w:sz="0" w:space="0" w:color="auto"/>
        <w:bottom w:val="none" w:sz="0" w:space="0" w:color="auto"/>
        <w:right w:val="none" w:sz="0" w:space="0" w:color="auto"/>
      </w:divBdr>
    </w:div>
    <w:div w:id="825901505">
      <w:bodyDiv w:val="1"/>
      <w:marLeft w:val="0"/>
      <w:marRight w:val="0"/>
      <w:marTop w:val="0"/>
      <w:marBottom w:val="0"/>
      <w:divBdr>
        <w:top w:val="none" w:sz="0" w:space="0" w:color="auto"/>
        <w:left w:val="none" w:sz="0" w:space="0" w:color="auto"/>
        <w:bottom w:val="none" w:sz="0" w:space="0" w:color="auto"/>
        <w:right w:val="none" w:sz="0" w:space="0" w:color="auto"/>
      </w:divBdr>
    </w:div>
    <w:div w:id="843402366">
      <w:bodyDiv w:val="1"/>
      <w:marLeft w:val="0"/>
      <w:marRight w:val="0"/>
      <w:marTop w:val="0"/>
      <w:marBottom w:val="0"/>
      <w:divBdr>
        <w:top w:val="none" w:sz="0" w:space="0" w:color="auto"/>
        <w:left w:val="none" w:sz="0" w:space="0" w:color="auto"/>
        <w:bottom w:val="none" w:sz="0" w:space="0" w:color="auto"/>
        <w:right w:val="none" w:sz="0" w:space="0" w:color="auto"/>
      </w:divBdr>
    </w:div>
    <w:div w:id="1042099309">
      <w:bodyDiv w:val="1"/>
      <w:marLeft w:val="0"/>
      <w:marRight w:val="0"/>
      <w:marTop w:val="0"/>
      <w:marBottom w:val="0"/>
      <w:divBdr>
        <w:top w:val="none" w:sz="0" w:space="0" w:color="auto"/>
        <w:left w:val="none" w:sz="0" w:space="0" w:color="auto"/>
        <w:bottom w:val="none" w:sz="0" w:space="0" w:color="auto"/>
        <w:right w:val="none" w:sz="0" w:space="0" w:color="auto"/>
      </w:divBdr>
    </w:div>
    <w:div w:id="1063941953">
      <w:bodyDiv w:val="1"/>
      <w:marLeft w:val="0"/>
      <w:marRight w:val="0"/>
      <w:marTop w:val="0"/>
      <w:marBottom w:val="0"/>
      <w:divBdr>
        <w:top w:val="none" w:sz="0" w:space="0" w:color="auto"/>
        <w:left w:val="none" w:sz="0" w:space="0" w:color="auto"/>
        <w:bottom w:val="none" w:sz="0" w:space="0" w:color="auto"/>
        <w:right w:val="none" w:sz="0" w:space="0" w:color="auto"/>
      </w:divBdr>
    </w:div>
    <w:div w:id="1087387915">
      <w:bodyDiv w:val="1"/>
      <w:marLeft w:val="0"/>
      <w:marRight w:val="0"/>
      <w:marTop w:val="0"/>
      <w:marBottom w:val="0"/>
      <w:divBdr>
        <w:top w:val="none" w:sz="0" w:space="0" w:color="auto"/>
        <w:left w:val="none" w:sz="0" w:space="0" w:color="auto"/>
        <w:bottom w:val="none" w:sz="0" w:space="0" w:color="auto"/>
        <w:right w:val="none" w:sz="0" w:space="0" w:color="auto"/>
      </w:divBdr>
    </w:div>
    <w:div w:id="1128812737">
      <w:bodyDiv w:val="1"/>
      <w:marLeft w:val="0"/>
      <w:marRight w:val="0"/>
      <w:marTop w:val="0"/>
      <w:marBottom w:val="0"/>
      <w:divBdr>
        <w:top w:val="none" w:sz="0" w:space="0" w:color="auto"/>
        <w:left w:val="none" w:sz="0" w:space="0" w:color="auto"/>
        <w:bottom w:val="none" w:sz="0" w:space="0" w:color="auto"/>
        <w:right w:val="none" w:sz="0" w:space="0" w:color="auto"/>
      </w:divBdr>
    </w:div>
    <w:div w:id="1463770306">
      <w:bodyDiv w:val="1"/>
      <w:marLeft w:val="0"/>
      <w:marRight w:val="0"/>
      <w:marTop w:val="0"/>
      <w:marBottom w:val="0"/>
      <w:divBdr>
        <w:top w:val="none" w:sz="0" w:space="0" w:color="auto"/>
        <w:left w:val="none" w:sz="0" w:space="0" w:color="auto"/>
        <w:bottom w:val="none" w:sz="0" w:space="0" w:color="auto"/>
        <w:right w:val="none" w:sz="0" w:space="0" w:color="auto"/>
      </w:divBdr>
    </w:div>
    <w:div w:id="1578006655">
      <w:bodyDiv w:val="1"/>
      <w:marLeft w:val="0"/>
      <w:marRight w:val="0"/>
      <w:marTop w:val="0"/>
      <w:marBottom w:val="0"/>
      <w:divBdr>
        <w:top w:val="none" w:sz="0" w:space="0" w:color="auto"/>
        <w:left w:val="none" w:sz="0" w:space="0" w:color="auto"/>
        <w:bottom w:val="none" w:sz="0" w:space="0" w:color="auto"/>
        <w:right w:val="none" w:sz="0" w:space="0" w:color="auto"/>
      </w:divBdr>
    </w:div>
    <w:div w:id="1606498916">
      <w:bodyDiv w:val="1"/>
      <w:marLeft w:val="0"/>
      <w:marRight w:val="0"/>
      <w:marTop w:val="0"/>
      <w:marBottom w:val="0"/>
      <w:divBdr>
        <w:top w:val="none" w:sz="0" w:space="0" w:color="auto"/>
        <w:left w:val="none" w:sz="0" w:space="0" w:color="auto"/>
        <w:bottom w:val="none" w:sz="0" w:space="0" w:color="auto"/>
        <w:right w:val="none" w:sz="0" w:space="0" w:color="auto"/>
      </w:divBdr>
    </w:div>
    <w:div w:id="1698700083">
      <w:bodyDiv w:val="1"/>
      <w:marLeft w:val="0"/>
      <w:marRight w:val="0"/>
      <w:marTop w:val="0"/>
      <w:marBottom w:val="0"/>
      <w:divBdr>
        <w:top w:val="none" w:sz="0" w:space="0" w:color="auto"/>
        <w:left w:val="none" w:sz="0" w:space="0" w:color="auto"/>
        <w:bottom w:val="none" w:sz="0" w:space="0" w:color="auto"/>
        <w:right w:val="none" w:sz="0" w:space="0" w:color="auto"/>
      </w:divBdr>
    </w:div>
    <w:div w:id="1931697757">
      <w:bodyDiv w:val="1"/>
      <w:marLeft w:val="0"/>
      <w:marRight w:val="0"/>
      <w:marTop w:val="0"/>
      <w:marBottom w:val="0"/>
      <w:divBdr>
        <w:top w:val="none" w:sz="0" w:space="0" w:color="auto"/>
        <w:left w:val="none" w:sz="0" w:space="0" w:color="auto"/>
        <w:bottom w:val="none" w:sz="0" w:space="0" w:color="auto"/>
        <w:right w:val="none" w:sz="0" w:space="0" w:color="auto"/>
      </w:divBdr>
      <w:divsChild>
        <w:div w:id="230240768">
          <w:marLeft w:val="0"/>
          <w:marRight w:val="0"/>
          <w:marTop w:val="60"/>
          <w:marBottom w:val="60"/>
          <w:divBdr>
            <w:top w:val="none" w:sz="0" w:space="0" w:color="auto"/>
            <w:left w:val="none" w:sz="0" w:space="0" w:color="auto"/>
            <w:bottom w:val="none" w:sz="0" w:space="0" w:color="auto"/>
            <w:right w:val="none" w:sz="0" w:space="0" w:color="auto"/>
          </w:divBdr>
        </w:div>
        <w:div w:id="875656432">
          <w:marLeft w:val="0"/>
          <w:marRight w:val="0"/>
          <w:marTop w:val="60"/>
          <w:marBottom w:val="60"/>
          <w:divBdr>
            <w:top w:val="none" w:sz="0" w:space="0" w:color="auto"/>
            <w:left w:val="none" w:sz="0" w:space="0" w:color="auto"/>
            <w:bottom w:val="none" w:sz="0" w:space="0" w:color="auto"/>
            <w:right w:val="none" w:sz="0" w:space="0" w:color="auto"/>
          </w:divBdr>
        </w:div>
        <w:div w:id="1492332438">
          <w:marLeft w:val="0"/>
          <w:marRight w:val="0"/>
          <w:marTop w:val="0"/>
          <w:marBottom w:val="0"/>
          <w:divBdr>
            <w:top w:val="none" w:sz="0" w:space="0" w:color="auto"/>
            <w:left w:val="none" w:sz="0" w:space="0" w:color="auto"/>
            <w:bottom w:val="none" w:sz="0" w:space="0" w:color="auto"/>
            <w:right w:val="none" w:sz="0" w:space="0" w:color="auto"/>
          </w:divBdr>
        </w:div>
        <w:div w:id="781613313">
          <w:marLeft w:val="0"/>
          <w:marRight w:val="0"/>
          <w:marTop w:val="60"/>
          <w:marBottom w:val="60"/>
          <w:divBdr>
            <w:top w:val="none" w:sz="0" w:space="0" w:color="auto"/>
            <w:left w:val="none" w:sz="0" w:space="0" w:color="auto"/>
            <w:bottom w:val="none" w:sz="0" w:space="0" w:color="auto"/>
            <w:right w:val="none" w:sz="0" w:space="0" w:color="auto"/>
          </w:divBdr>
        </w:div>
        <w:div w:id="1284725387">
          <w:marLeft w:val="0"/>
          <w:marRight w:val="0"/>
          <w:marTop w:val="60"/>
          <w:marBottom w:val="60"/>
          <w:divBdr>
            <w:top w:val="none" w:sz="0" w:space="0" w:color="auto"/>
            <w:left w:val="none" w:sz="0" w:space="0" w:color="auto"/>
            <w:bottom w:val="none" w:sz="0" w:space="0" w:color="auto"/>
            <w:right w:val="none" w:sz="0" w:space="0" w:color="auto"/>
          </w:divBdr>
        </w:div>
        <w:div w:id="982809494">
          <w:marLeft w:val="0"/>
          <w:marRight w:val="0"/>
          <w:marTop w:val="60"/>
          <w:marBottom w:val="60"/>
          <w:divBdr>
            <w:top w:val="none" w:sz="0" w:space="0" w:color="auto"/>
            <w:left w:val="none" w:sz="0" w:space="0" w:color="auto"/>
            <w:bottom w:val="none" w:sz="0" w:space="0" w:color="auto"/>
            <w:right w:val="none" w:sz="0" w:space="0" w:color="auto"/>
          </w:divBdr>
        </w:div>
        <w:div w:id="1526747022">
          <w:marLeft w:val="0"/>
          <w:marRight w:val="0"/>
          <w:marTop w:val="60"/>
          <w:marBottom w:val="60"/>
          <w:divBdr>
            <w:top w:val="none" w:sz="0" w:space="0" w:color="auto"/>
            <w:left w:val="none" w:sz="0" w:space="0" w:color="auto"/>
            <w:bottom w:val="none" w:sz="0" w:space="0" w:color="auto"/>
            <w:right w:val="none" w:sz="0" w:space="0" w:color="auto"/>
          </w:divBdr>
        </w:div>
        <w:div w:id="719133944">
          <w:marLeft w:val="0"/>
          <w:marRight w:val="0"/>
          <w:marTop w:val="0"/>
          <w:marBottom w:val="0"/>
          <w:divBdr>
            <w:top w:val="none" w:sz="0" w:space="0" w:color="auto"/>
            <w:left w:val="none" w:sz="0" w:space="0" w:color="auto"/>
            <w:bottom w:val="none" w:sz="0" w:space="0" w:color="auto"/>
            <w:right w:val="none" w:sz="0" w:space="0" w:color="auto"/>
          </w:divBdr>
        </w:div>
        <w:div w:id="2005089030">
          <w:marLeft w:val="0"/>
          <w:marRight w:val="0"/>
          <w:marTop w:val="0"/>
          <w:marBottom w:val="0"/>
          <w:divBdr>
            <w:top w:val="none" w:sz="0" w:space="0" w:color="auto"/>
            <w:left w:val="none" w:sz="0" w:space="0" w:color="auto"/>
            <w:bottom w:val="none" w:sz="0" w:space="0" w:color="auto"/>
            <w:right w:val="none" w:sz="0" w:space="0" w:color="auto"/>
          </w:divBdr>
        </w:div>
        <w:div w:id="1936859063">
          <w:marLeft w:val="0"/>
          <w:marRight w:val="0"/>
          <w:marTop w:val="0"/>
          <w:marBottom w:val="0"/>
          <w:divBdr>
            <w:top w:val="none" w:sz="0" w:space="0" w:color="auto"/>
            <w:left w:val="none" w:sz="0" w:space="0" w:color="auto"/>
            <w:bottom w:val="none" w:sz="0" w:space="0" w:color="auto"/>
            <w:right w:val="none" w:sz="0" w:space="0" w:color="auto"/>
          </w:divBdr>
        </w:div>
        <w:div w:id="1126704855">
          <w:marLeft w:val="0"/>
          <w:marRight w:val="0"/>
          <w:marTop w:val="0"/>
          <w:marBottom w:val="0"/>
          <w:divBdr>
            <w:top w:val="none" w:sz="0" w:space="0" w:color="auto"/>
            <w:left w:val="none" w:sz="0" w:space="0" w:color="auto"/>
            <w:bottom w:val="none" w:sz="0" w:space="0" w:color="auto"/>
            <w:right w:val="none" w:sz="0" w:space="0" w:color="auto"/>
          </w:divBdr>
        </w:div>
        <w:div w:id="460341979">
          <w:marLeft w:val="0"/>
          <w:marRight w:val="0"/>
          <w:marTop w:val="0"/>
          <w:marBottom w:val="0"/>
          <w:divBdr>
            <w:top w:val="none" w:sz="0" w:space="0" w:color="auto"/>
            <w:left w:val="none" w:sz="0" w:space="0" w:color="auto"/>
            <w:bottom w:val="none" w:sz="0" w:space="0" w:color="auto"/>
            <w:right w:val="none" w:sz="0" w:space="0" w:color="auto"/>
          </w:divBdr>
        </w:div>
        <w:div w:id="2039892706">
          <w:marLeft w:val="0"/>
          <w:marRight w:val="0"/>
          <w:marTop w:val="0"/>
          <w:marBottom w:val="0"/>
          <w:divBdr>
            <w:top w:val="none" w:sz="0" w:space="0" w:color="auto"/>
            <w:left w:val="none" w:sz="0" w:space="0" w:color="auto"/>
            <w:bottom w:val="none" w:sz="0" w:space="0" w:color="auto"/>
            <w:right w:val="none" w:sz="0" w:space="0" w:color="auto"/>
          </w:divBdr>
        </w:div>
        <w:div w:id="1743482650">
          <w:marLeft w:val="0"/>
          <w:marRight w:val="0"/>
          <w:marTop w:val="0"/>
          <w:marBottom w:val="0"/>
          <w:divBdr>
            <w:top w:val="none" w:sz="0" w:space="0" w:color="auto"/>
            <w:left w:val="none" w:sz="0" w:space="0" w:color="auto"/>
            <w:bottom w:val="none" w:sz="0" w:space="0" w:color="auto"/>
            <w:right w:val="none" w:sz="0" w:space="0" w:color="auto"/>
          </w:divBdr>
        </w:div>
      </w:divsChild>
    </w:div>
    <w:div w:id="2017615613">
      <w:bodyDiv w:val="1"/>
      <w:marLeft w:val="0"/>
      <w:marRight w:val="0"/>
      <w:marTop w:val="0"/>
      <w:marBottom w:val="0"/>
      <w:divBdr>
        <w:top w:val="none" w:sz="0" w:space="0" w:color="auto"/>
        <w:left w:val="none" w:sz="0" w:space="0" w:color="auto"/>
        <w:bottom w:val="none" w:sz="0" w:space="0" w:color="auto"/>
        <w:right w:val="none" w:sz="0" w:space="0" w:color="auto"/>
      </w:divBdr>
    </w:div>
    <w:div w:id="2032100007">
      <w:bodyDiv w:val="1"/>
      <w:marLeft w:val="0"/>
      <w:marRight w:val="0"/>
      <w:marTop w:val="0"/>
      <w:marBottom w:val="0"/>
      <w:divBdr>
        <w:top w:val="none" w:sz="0" w:space="0" w:color="auto"/>
        <w:left w:val="none" w:sz="0" w:space="0" w:color="auto"/>
        <w:bottom w:val="none" w:sz="0" w:space="0" w:color="auto"/>
        <w:right w:val="none" w:sz="0" w:space="0" w:color="auto"/>
      </w:divBdr>
    </w:div>
    <w:div w:id="2109621483">
      <w:bodyDiv w:val="1"/>
      <w:marLeft w:val="0"/>
      <w:marRight w:val="0"/>
      <w:marTop w:val="0"/>
      <w:marBottom w:val="0"/>
      <w:divBdr>
        <w:top w:val="none" w:sz="0" w:space="0" w:color="auto"/>
        <w:left w:val="none" w:sz="0" w:space="0" w:color="auto"/>
        <w:bottom w:val="none" w:sz="0" w:space="0" w:color="auto"/>
        <w:right w:val="none" w:sz="0" w:space="0" w:color="auto"/>
      </w:divBdr>
    </w:div>
    <w:div w:id="2130204140">
      <w:bodyDiv w:val="1"/>
      <w:marLeft w:val="0"/>
      <w:marRight w:val="0"/>
      <w:marTop w:val="0"/>
      <w:marBottom w:val="0"/>
      <w:divBdr>
        <w:top w:val="none" w:sz="0" w:space="0" w:color="auto"/>
        <w:left w:val="none" w:sz="0" w:space="0" w:color="auto"/>
        <w:bottom w:val="none" w:sz="0" w:space="0" w:color="auto"/>
        <w:right w:val="none" w:sz="0" w:space="0" w:color="auto"/>
      </w:divBdr>
    </w:div>
    <w:div w:id="21303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35606-8CC2-4DBF-AB7A-9FD3A84DF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1433</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Sandhya Dubey</dc:creator>
  <cp:keywords/>
  <dc:description/>
  <cp:lastModifiedBy>Aruna Atkuri</cp:lastModifiedBy>
  <cp:revision>2</cp:revision>
  <cp:lastPrinted>2016-05-19T13:14:00Z</cp:lastPrinted>
  <dcterms:created xsi:type="dcterms:W3CDTF">2016-05-20T06:54:00Z</dcterms:created>
  <dcterms:modified xsi:type="dcterms:W3CDTF">2016-05-20T06:54:00Z</dcterms:modified>
</cp:coreProperties>
</file>