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8BDC9" w14:textId="57F591E2" w:rsidR="00FE034F" w:rsidRPr="00554A55" w:rsidRDefault="00FE034F">
      <w:pPr>
        <w:rPr>
          <w:rFonts w:cstheme="minorHAnsi"/>
        </w:rPr>
      </w:pPr>
      <w:r w:rsidRPr="00554A55">
        <w:rPr>
          <w:rFonts w:cstheme="minorHAnsi"/>
        </w:rPr>
        <w:t>Annexure - Product details and trading parameters of Interest Rate Derivatives c</w:t>
      </w:r>
      <w:r w:rsidR="00B25BF4" w:rsidRPr="00554A55">
        <w:rPr>
          <w:rFonts w:cstheme="minorHAnsi"/>
        </w:rPr>
        <w:t xml:space="preserve">ontracts on underlying bond </w:t>
      </w:r>
      <w:r w:rsidR="00D71D29">
        <w:rPr>
          <w:rFonts w:cstheme="minorHAnsi"/>
        </w:rPr>
        <w:t>5.79</w:t>
      </w:r>
      <w:r w:rsidR="00CF37A0" w:rsidRPr="00554A55">
        <w:rPr>
          <w:rFonts w:cstheme="minorHAnsi"/>
        </w:rPr>
        <w:t xml:space="preserve">% GOI Maturing on </w:t>
      </w:r>
      <w:r w:rsidR="00D71D29">
        <w:rPr>
          <w:rFonts w:cstheme="minorHAnsi"/>
        </w:rPr>
        <w:t>May 11,2030</w:t>
      </w:r>
      <w:r w:rsidR="00285178" w:rsidRPr="00554A55">
        <w:rPr>
          <w:rFonts w:cstheme="minorHAnsi"/>
        </w:rPr>
        <w:t xml:space="preserve"> </w:t>
      </w:r>
      <w:r w:rsidR="00B25BF4" w:rsidRPr="00554A55">
        <w:rPr>
          <w:rFonts w:cstheme="minorHAnsi"/>
        </w:rPr>
        <w:t>is</w:t>
      </w:r>
      <w:r w:rsidRPr="00554A55">
        <w:rPr>
          <w:rFonts w:cstheme="minorHAnsi"/>
        </w:rPr>
        <w:t xml:space="preserve"> as follows:</w:t>
      </w:r>
    </w:p>
    <w:p w14:paraId="0E8CF217" w14:textId="4CA32A9B" w:rsidR="00554A55" w:rsidRPr="00554A55" w:rsidRDefault="00554A55" w:rsidP="00D6411C">
      <w:pPr>
        <w:jc w:val="center"/>
        <w:rPr>
          <w:rFonts w:cstheme="minorHAnsi"/>
          <w:b/>
          <w:u w:val="single"/>
        </w:rPr>
      </w:pPr>
      <w:bookmarkStart w:id="0" w:name="_GoBack"/>
      <w:bookmarkEnd w:id="0"/>
      <w:r w:rsidRPr="00554A55">
        <w:rPr>
          <w:rFonts w:cstheme="minorHAnsi"/>
          <w:b/>
          <w:u w:val="single"/>
        </w:rPr>
        <w:t>Contract Specifications for Interest Rate Options</w:t>
      </w:r>
    </w:p>
    <w:tbl>
      <w:tblPr>
        <w:tblStyle w:val="TableGrid"/>
        <w:tblW w:w="9930" w:type="dxa"/>
        <w:tblLook w:val="04A0" w:firstRow="1" w:lastRow="0" w:firstColumn="1" w:lastColumn="0" w:noHBand="0" w:noVBand="1"/>
      </w:tblPr>
      <w:tblGrid>
        <w:gridCol w:w="3898"/>
        <w:gridCol w:w="6032"/>
      </w:tblGrid>
      <w:tr w:rsidR="00D71D29" w:rsidRPr="00554A55" w14:paraId="1481EE1B" w14:textId="77777777" w:rsidTr="003F467C">
        <w:trPr>
          <w:trHeight w:val="292"/>
        </w:trPr>
        <w:tc>
          <w:tcPr>
            <w:tcW w:w="3898" w:type="dxa"/>
          </w:tcPr>
          <w:p w14:paraId="50301D8B" w14:textId="77777777" w:rsidR="00D71D29" w:rsidRPr="00554A55" w:rsidRDefault="00D71D29" w:rsidP="00D71D29">
            <w:pPr>
              <w:jc w:val="center"/>
              <w:rPr>
                <w:rFonts w:cstheme="minorHAnsi"/>
                <w:b/>
              </w:rPr>
            </w:pPr>
            <w:r w:rsidRPr="00554A55">
              <w:rPr>
                <w:rFonts w:cstheme="minorHAnsi"/>
                <w:b/>
              </w:rPr>
              <w:t>Symbol</w:t>
            </w:r>
          </w:p>
        </w:tc>
        <w:tc>
          <w:tcPr>
            <w:tcW w:w="6032" w:type="dxa"/>
          </w:tcPr>
          <w:p w14:paraId="60EA3862" w14:textId="0E69005D" w:rsidR="00D71D29" w:rsidRPr="00554A55" w:rsidRDefault="00D71D29" w:rsidP="00D71D29">
            <w:pPr>
              <w:jc w:val="center"/>
              <w:rPr>
                <w:rFonts w:cstheme="minorHAnsi"/>
              </w:rPr>
            </w:pPr>
            <w:r>
              <w:rPr>
                <w:rFonts w:cstheme="minorHAnsi"/>
              </w:rPr>
              <w:t>579</w:t>
            </w:r>
            <w:r w:rsidRPr="00554A55">
              <w:rPr>
                <w:rFonts w:cstheme="minorHAnsi"/>
              </w:rPr>
              <w:t>GS20</w:t>
            </w:r>
            <w:r>
              <w:rPr>
                <w:rFonts w:cstheme="minorHAnsi"/>
              </w:rPr>
              <w:t>30</w:t>
            </w:r>
          </w:p>
        </w:tc>
      </w:tr>
      <w:tr w:rsidR="00D71D29" w:rsidRPr="00554A55" w14:paraId="7E5ADD12" w14:textId="77777777" w:rsidTr="003F467C">
        <w:trPr>
          <w:trHeight w:val="292"/>
        </w:trPr>
        <w:tc>
          <w:tcPr>
            <w:tcW w:w="3898" w:type="dxa"/>
          </w:tcPr>
          <w:p w14:paraId="579847DE" w14:textId="77777777" w:rsidR="00D71D29" w:rsidRPr="00554A55" w:rsidRDefault="00D71D29" w:rsidP="00D71D29">
            <w:pPr>
              <w:jc w:val="center"/>
              <w:rPr>
                <w:rFonts w:cstheme="minorHAnsi"/>
                <w:b/>
              </w:rPr>
            </w:pPr>
            <w:r w:rsidRPr="00554A55">
              <w:rPr>
                <w:rFonts w:cstheme="minorHAnsi"/>
                <w:b/>
              </w:rPr>
              <w:t>Instrument Type</w:t>
            </w:r>
          </w:p>
        </w:tc>
        <w:tc>
          <w:tcPr>
            <w:tcW w:w="6032" w:type="dxa"/>
          </w:tcPr>
          <w:p w14:paraId="0809E31F" w14:textId="77777777" w:rsidR="00D71D29" w:rsidRPr="00554A55" w:rsidRDefault="00D71D29" w:rsidP="00D71D29">
            <w:pPr>
              <w:jc w:val="center"/>
              <w:rPr>
                <w:rFonts w:cstheme="minorHAnsi"/>
              </w:rPr>
            </w:pPr>
            <w:r w:rsidRPr="00554A55">
              <w:rPr>
                <w:rFonts w:cstheme="minorHAnsi"/>
              </w:rPr>
              <w:t>OPTIRD</w:t>
            </w:r>
          </w:p>
        </w:tc>
      </w:tr>
      <w:tr w:rsidR="00D71D29" w:rsidRPr="00554A55" w14:paraId="2015B676" w14:textId="77777777" w:rsidTr="003F467C">
        <w:trPr>
          <w:trHeight w:val="308"/>
        </w:trPr>
        <w:tc>
          <w:tcPr>
            <w:tcW w:w="3898" w:type="dxa"/>
          </w:tcPr>
          <w:p w14:paraId="7EE0004F" w14:textId="77777777" w:rsidR="00D71D29" w:rsidRPr="00554A55" w:rsidRDefault="00D71D29" w:rsidP="00D71D29">
            <w:pPr>
              <w:jc w:val="center"/>
              <w:rPr>
                <w:rFonts w:cstheme="minorHAnsi"/>
                <w:b/>
              </w:rPr>
            </w:pPr>
            <w:r w:rsidRPr="00554A55">
              <w:rPr>
                <w:rFonts w:cstheme="minorHAnsi"/>
                <w:b/>
              </w:rPr>
              <w:t>Unit of Trading</w:t>
            </w:r>
          </w:p>
        </w:tc>
        <w:tc>
          <w:tcPr>
            <w:tcW w:w="6032" w:type="dxa"/>
          </w:tcPr>
          <w:p w14:paraId="7278D1CE" w14:textId="77777777" w:rsidR="00D71D29" w:rsidRPr="00554A55" w:rsidRDefault="00D71D29" w:rsidP="00D71D29">
            <w:pPr>
              <w:jc w:val="center"/>
              <w:rPr>
                <w:rFonts w:cstheme="minorHAnsi"/>
              </w:rPr>
            </w:pPr>
            <w:r w:rsidRPr="00554A55">
              <w:rPr>
                <w:rFonts w:cstheme="minorHAnsi"/>
              </w:rPr>
              <w:t>One contract denotes 2000 units (Face Value Rs. 2 Lacs)</w:t>
            </w:r>
          </w:p>
        </w:tc>
      </w:tr>
      <w:tr w:rsidR="00D71D29" w:rsidRPr="00554A55" w14:paraId="5AAC3770" w14:textId="77777777" w:rsidTr="003F467C">
        <w:trPr>
          <w:trHeight w:val="292"/>
        </w:trPr>
        <w:tc>
          <w:tcPr>
            <w:tcW w:w="3898" w:type="dxa"/>
          </w:tcPr>
          <w:p w14:paraId="7C05929F" w14:textId="77777777" w:rsidR="00D71D29" w:rsidRPr="00554A55" w:rsidRDefault="00D71D29" w:rsidP="00D71D29">
            <w:pPr>
              <w:jc w:val="center"/>
              <w:rPr>
                <w:rFonts w:cstheme="minorHAnsi"/>
                <w:b/>
              </w:rPr>
            </w:pPr>
            <w:r w:rsidRPr="00554A55">
              <w:rPr>
                <w:rFonts w:cstheme="minorHAnsi"/>
                <w:b/>
              </w:rPr>
              <w:t>Underlying/Order Quotation</w:t>
            </w:r>
          </w:p>
        </w:tc>
        <w:tc>
          <w:tcPr>
            <w:tcW w:w="6032" w:type="dxa"/>
          </w:tcPr>
          <w:p w14:paraId="7CD6E215" w14:textId="77777777" w:rsidR="00D71D29" w:rsidRPr="00554A55" w:rsidRDefault="00D71D29" w:rsidP="00D71D29">
            <w:pPr>
              <w:jc w:val="center"/>
              <w:rPr>
                <w:rFonts w:cstheme="minorHAnsi"/>
              </w:rPr>
            </w:pPr>
            <w:r w:rsidRPr="00554A55">
              <w:rPr>
                <w:rFonts w:cstheme="minorHAnsi"/>
              </w:rPr>
              <w:t>Government of India Security</w:t>
            </w:r>
          </w:p>
        </w:tc>
      </w:tr>
      <w:tr w:rsidR="00D71D29" w:rsidRPr="00554A55" w14:paraId="42DB35F1" w14:textId="77777777" w:rsidTr="003F467C">
        <w:trPr>
          <w:trHeight w:val="292"/>
        </w:trPr>
        <w:tc>
          <w:tcPr>
            <w:tcW w:w="3898" w:type="dxa"/>
          </w:tcPr>
          <w:p w14:paraId="1BD7AE9D" w14:textId="77777777" w:rsidR="00D71D29" w:rsidRPr="00554A55" w:rsidRDefault="00D71D29" w:rsidP="00D71D29">
            <w:pPr>
              <w:jc w:val="center"/>
              <w:rPr>
                <w:rFonts w:cstheme="minorHAnsi"/>
                <w:b/>
              </w:rPr>
            </w:pPr>
            <w:r w:rsidRPr="00554A55">
              <w:rPr>
                <w:rFonts w:cstheme="minorHAnsi"/>
                <w:b/>
              </w:rPr>
              <w:t>Option Type</w:t>
            </w:r>
          </w:p>
        </w:tc>
        <w:tc>
          <w:tcPr>
            <w:tcW w:w="6032" w:type="dxa"/>
          </w:tcPr>
          <w:p w14:paraId="3C52783B" w14:textId="77777777" w:rsidR="00D71D29" w:rsidRPr="00554A55" w:rsidRDefault="00D71D29" w:rsidP="00D71D29">
            <w:pPr>
              <w:jc w:val="center"/>
              <w:rPr>
                <w:rFonts w:cstheme="minorHAnsi"/>
              </w:rPr>
            </w:pPr>
            <w:r w:rsidRPr="00554A55">
              <w:rPr>
                <w:rFonts w:cstheme="minorHAnsi"/>
              </w:rPr>
              <w:t>Premium Style European Call and Put Options</w:t>
            </w:r>
          </w:p>
        </w:tc>
      </w:tr>
      <w:tr w:rsidR="00D71D29" w:rsidRPr="00554A55" w14:paraId="4F7D85BA" w14:textId="77777777" w:rsidTr="003F467C">
        <w:trPr>
          <w:trHeight w:val="292"/>
        </w:trPr>
        <w:tc>
          <w:tcPr>
            <w:tcW w:w="3898" w:type="dxa"/>
          </w:tcPr>
          <w:p w14:paraId="6EB13577" w14:textId="77777777" w:rsidR="00D71D29" w:rsidRPr="00554A55" w:rsidRDefault="00D71D29" w:rsidP="00D71D29">
            <w:pPr>
              <w:jc w:val="center"/>
              <w:rPr>
                <w:rFonts w:cstheme="minorHAnsi"/>
                <w:b/>
              </w:rPr>
            </w:pPr>
            <w:r w:rsidRPr="00554A55">
              <w:rPr>
                <w:rFonts w:cstheme="minorHAnsi"/>
                <w:b/>
              </w:rPr>
              <w:t>Premium</w:t>
            </w:r>
          </w:p>
        </w:tc>
        <w:tc>
          <w:tcPr>
            <w:tcW w:w="6032" w:type="dxa"/>
          </w:tcPr>
          <w:p w14:paraId="1F5D0B0C" w14:textId="77777777" w:rsidR="00D71D29" w:rsidRPr="00554A55" w:rsidRDefault="00D71D29" w:rsidP="00D71D29">
            <w:pPr>
              <w:jc w:val="center"/>
              <w:rPr>
                <w:rFonts w:cstheme="minorHAnsi"/>
              </w:rPr>
            </w:pPr>
            <w:r w:rsidRPr="00554A55">
              <w:rPr>
                <w:rFonts w:cstheme="minorHAnsi"/>
              </w:rPr>
              <w:t>Quoted in INR</w:t>
            </w:r>
          </w:p>
        </w:tc>
      </w:tr>
      <w:tr w:rsidR="00D71D29" w:rsidRPr="00554A55" w14:paraId="3086B870" w14:textId="77777777" w:rsidTr="003F467C">
        <w:trPr>
          <w:trHeight w:val="292"/>
        </w:trPr>
        <w:tc>
          <w:tcPr>
            <w:tcW w:w="3898" w:type="dxa"/>
          </w:tcPr>
          <w:p w14:paraId="1D801D85" w14:textId="77777777" w:rsidR="00D71D29" w:rsidRPr="00554A55" w:rsidRDefault="00D71D29" w:rsidP="00D71D29">
            <w:pPr>
              <w:jc w:val="center"/>
              <w:rPr>
                <w:rFonts w:cstheme="minorHAnsi"/>
                <w:b/>
              </w:rPr>
            </w:pPr>
            <w:r w:rsidRPr="00554A55">
              <w:rPr>
                <w:rFonts w:cstheme="minorHAnsi"/>
                <w:b/>
              </w:rPr>
              <w:t>Tick Size</w:t>
            </w:r>
          </w:p>
        </w:tc>
        <w:tc>
          <w:tcPr>
            <w:tcW w:w="6032" w:type="dxa"/>
          </w:tcPr>
          <w:p w14:paraId="56F92ED6" w14:textId="77777777" w:rsidR="00D71D29" w:rsidRPr="00554A55" w:rsidRDefault="00D71D29" w:rsidP="00D71D29">
            <w:pPr>
              <w:jc w:val="center"/>
              <w:rPr>
                <w:rFonts w:cstheme="minorHAnsi"/>
              </w:rPr>
            </w:pPr>
            <w:r w:rsidRPr="00554A55">
              <w:rPr>
                <w:rFonts w:cstheme="minorHAnsi"/>
              </w:rPr>
              <w:t>0.25 Paisa i.e. INR 0.0025</w:t>
            </w:r>
          </w:p>
        </w:tc>
      </w:tr>
      <w:tr w:rsidR="00D71D29" w:rsidRPr="00554A55" w14:paraId="0EC5595B" w14:textId="77777777" w:rsidTr="003F467C">
        <w:trPr>
          <w:trHeight w:val="308"/>
        </w:trPr>
        <w:tc>
          <w:tcPr>
            <w:tcW w:w="3898" w:type="dxa"/>
          </w:tcPr>
          <w:p w14:paraId="3B5E5B5B" w14:textId="77777777" w:rsidR="00D71D29" w:rsidRPr="00554A55" w:rsidRDefault="00D71D29" w:rsidP="00D71D29">
            <w:pPr>
              <w:jc w:val="center"/>
              <w:rPr>
                <w:rFonts w:cstheme="minorHAnsi"/>
                <w:b/>
              </w:rPr>
            </w:pPr>
            <w:r w:rsidRPr="00554A55">
              <w:rPr>
                <w:rFonts w:cstheme="minorHAnsi"/>
                <w:b/>
              </w:rPr>
              <w:t>Price Precision</w:t>
            </w:r>
          </w:p>
        </w:tc>
        <w:tc>
          <w:tcPr>
            <w:tcW w:w="6032" w:type="dxa"/>
          </w:tcPr>
          <w:p w14:paraId="2DE39484" w14:textId="77777777" w:rsidR="00D71D29" w:rsidRPr="00554A55" w:rsidRDefault="00D71D29" w:rsidP="00D71D29">
            <w:pPr>
              <w:jc w:val="center"/>
              <w:rPr>
                <w:rFonts w:cstheme="minorHAnsi"/>
              </w:rPr>
            </w:pPr>
            <w:r w:rsidRPr="00554A55">
              <w:rPr>
                <w:rFonts w:cstheme="minorHAnsi"/>
              </w:rPr>
              <w:t>4 decimals</w:t>
            </w:r>
          </w:p>
        </w:tc>
      </w:tr>
      <w:tr w:rsidR="00D71D29" w:rsidRPr="00554A55" w14:paraId="1E63CEE8" w14:textId="77777777" w:rsidTr="003F467C">
        <w:trPr>
          <w:trHeight w:val="292"/>
        </w:trPr>
        <w:tc>
          <w:tcPr>
            <w:tcW w:w="3898" w:type="dxa"/>
          </w:tcPr>
          <w:p w14:paraId="4401C3E3" w14:textId="77777777" w:rsidR="00D71D29" w:rsidRPr="00554A55" w:rsidRDefault="00D71D29" w:rsidP="00D71D29">
            <w:pPr>
              <w:jc w:val="center"/>
              <w:rPr>
                <w:rFonts w:cstheme="minorHAnsi"/>
                <w:b/>
              </w:rPr>
            </w:pPr>
            <w:r w:rsidRPr="00554A55">
              <w:rPr>
                <w:rFonts w:cstheme="minorHAnsi"/>
                <w:b/>
              </w:rPr>
              <w:t>Trading Hours</w:t>
            </w:r>
          </w:p>
        </w:tc>
        <w:tc>
          <w:tcPr>
            <w:tcW w:w="6032" w:type="dxa"/>
          </w:tcPr>
          <w:p w14:paraId="12C4AE6A" w14:textId="77777777" w:rsidR="00D71D29" w:rsidRPr="00554A55" w:rsidRDefault="00D71D29" w:rsidP="00D71D29">
            <w:pPr>
              <w:jc w:val="center"/>
              <w:rPr>
                <w:rFonts w:cstheme="minorHAnsi"/>
              </w:rPr>
            </w:pPr>
            <w:r w:rsidRPr="00554A55">
              <w:rPr>
                <w:rFonts w:cstheme="minorHAnsi"/>
              </w:rPr>
              <w:t>9:00 a.m. to 5:00 p.m.</w:t>
            </w:r>
          </w:p>
        </w:tc>
      </w:tr>
      <w:tr w:rsidR="00D71D29" w:rsidRPr="00554A55" w14:paraId="56D14F6E" w14:textId="77777777" w:rsidTr="003F467C">
        <w:trPr>
          <w:trHeight w:val="292"/>
        </w:trPr>
        <w:tc>
          <w:tcPr>
            <w:tcW w:w="3898" w:type="dxa"/>
          </w:tcPr>
          <w:p w14:paraId="76056F2C" w14:textId="77777777" w:rsidR="00D71D29" w:rsidRPr="00554A55" w:rsidRDefault="00D71D29" w:rsidP="00D71D29">
            <w:pPr>
              <w:jc w:val="center"/>
              <w:rPr>
                <w:rFonts w:cstheme="minorHAnsi"/>
                <w:b/>
              </w:rPr>
            </w:pPr>
            <w:r w:rsidRPr="00554A55">
              <w:rPr>
                <w:rFonts w:cstheme="minorHAnsi"/>
                <w:b/>
              </w:rPr>
              <w:t>Contract Trading Cycle</w:t>
            </w:r>
          </w:p>
        </w:tc>
        <w:tc>
          <w:tcPr>
            <w:tcW w:w="6032" w:type="dxa"/>
          </w:tcPr>
          <w:p w14:paraId="4986E378" w14:textId="77777777" w:rsidR="00D71D29" w:rsidRPr="00554A55" w:rsidRDefault="00D71D29" w:rsidP="00D71D29">
            <w:pPr>
              <w:jc w:val="center"/>
              <w:rPr>
                <w:rFonts w:cstheme="minorHAnsi"/>
              </w:rPr>
            </w:pPr>
            <w:r w:rsidRPr="00554A55">
              <w:rPr>
                <w:rFonts w:cstheme="minorHAnsi"/>
              </w:rPr>
              <w:t>Three serial monthly contracts followed by three quarterly contracts of the cycle March/June/September/December</w:t>
            </w:r>
          </w:p>
        </w:tc>
      </w:tr>
      <w:tr w:rsidR="00D71D29" w:rsidRPr="00554A55" w14:paraId="4363F9E1" w14:textId="77777777" w:rsidTr="003F467C">
        <w:trPr>
          <w:trHeight w:val="292"/>
        </w:trPr>
        <w:tc>
          <w:tcPr>
            <w:tcW w:w="3898" w:type="dxa"/>
          </w:tcPr>
          <w:p w14:paraId="36E10AD3" w14:textId="77777777" w:rsidR="00D71D29" w:rsidRPr="00554A55" w:rsidRDefault="00D71D29" w:rsidP="00D71D29">
            <w:pPr>
              <w:jc w:val="center"/>
              <w:rPr>
                <w:rFonts w:cstheme="minorHAnsi"/>
                <w:b/>
              </w:rPr>
            </w:pPr>
            <w:r w:rsidRPr="00554A55">
              <w:rPr>
                <w:rFonts w:cstheme="minorHAnsi"/>
                <w:b/>
              </w:rPr>
              <w:t>Strike Price</w:t>
            </w:r>
          </w:p>
        </w:tc>
        <w:tc>
          <w:tcPr>
            <w:tcW w:w="6032" w:type="dxa"/>
          </w:tcPr>
          <w:p w14:paraId="72690EA6" w14:textId="77777777" w:rsidR="00D71D29" w:rsidRPr="00554A55" w:rsidRDefault="00D71D29" w:rsidP="00D71D29">
            <w:pPr>
              <w:jc w:val="center"/>
              <w:rPr>
                <w:rFonts w:cstheme="minorHAnsi"/>
              </w:rPr>
            </w:pPr>
            <w:r w:rsidRPr="00554A55">
              <w:rPr>
                <w:rFonts w:cstheme="minorHAnsi"/>
              </w:rPr>
              <w:t>Eight In-the -money, Eight Out-of the -money and one Near-the-money. (17 CE and 17 PE)</w:t>
            </w:r>
          </w:p>
        </w:tc>
      </w:tr>
      <w:tr w:rsidR="00D71D29" w:rsidRPr="00554A55" w14:paraId="1946B56B" w14:textId="77777777" w:rsidTr="003F467C">
        <w:trPr>
          <w:trHeight w:val="292"/>
        </w:trPr>
        <w:tc>
          <w:tcPr>
            <w:tcW w:w="3898" w:type="dxa"/>
          </w:tcPr>
          <w:p w14:paraId="6D760514" w14:textId="77777777" w:rsidR="00D71D29" w:rsidRPr="00554A55" w:rsidRDefault="00D71D29" w:rsidP="00D71D29">
            <w:pPr>
              <w:jc w:val="center"/>
              <w:rPr>
                <w:rFonts w:cstheme="minorHAnsi"/>
                <w:b/>
              </w:rPr>
            </w:pPr>
            <w:r w:rsidRPr="00554A55">
              <w:rPr>
                <w:rFonts w:cstheme="minorHAnsi"/>
                <w:b/>
              </w:rPr>
              <w:t>Strike Price Intervals</w:t>
            </w:r>
          </w:p>
        </w:tc>
        <w:tc>
          <w:tcPr>
            <w:tcW w:w="6032" w:type="dxa"/>
          </w:tcPr>
          <w:p w14:paraId="63ADB006" w14:textId="77777777" w:rsidR="00D71D29" w:rsidRPr="00554A55" w:rsidRDefault="00D71D29" w:rsidP="00D71D29">
            <w:pPr>
              <w:jc w:val="center"/>
              <w:rPr>
                <w:rFonts w:cstheme="minorHAnsi"/>
              </w:rPr>
            </w:pPr>
            <w:r w:rsidRPr="00554A55">
              <w:rPr>
                <w:rFonts w:cstheme="minorHAnsi"/>
              </w:rPr>
              <w:t>INR 0.25</w:t>
            </w:r>
          </w:p>
        </w:tc>
      </w:tr>
      <w:tr w:rsidR="00D71D29" w:rsidRPr="00554A55" w14:paraId="4BA8224C" w14:textId="77777777" w:rsidTr="003F467C">
        <w:trPr>
          <w:trHeight w:val="308"/>
        </w:trPr>
        <w:tc>
          <w:tcPr>
            <w:tcW w:w="3898" w:type="dxa"/>
          </w:tcPr>
          <w:p w14:paraId="48AA782D" w14:textId="77777777" w:rsidR="00D71D29" w:rsidRPr="00554A55" w:rsidRDefault="00D71D29" w:rsidP="00D71D29">
            <w:pPr>
              <w:jc w:val="center"/>
              <w:rPr>
                <w:rFonts w:cstheme="minorHAnsi"/>
                <w:b/>
              </w:rPr>
            </w:pPr>
            <w:r w:rsidRPr="00554A55">
              <w:rPr>
                <w:rFonts w:cstheme="minorHAnsi"/>
                <w:b/>
              </w:rPr>
              <w:t>Price Bands</w:t>
            </w:r>
          </w:p>
        </w:tc>
        <w:tc>
          <w:tcPr>
            <w:tcW w:w="6032" w:type="dxa"/>
          </w:tcPr>
          <w:p w14:paraId="4ED139ED" w14:textId="77777777" w:rsidR="00D71D29" w:rsidRPr="00554A55" w:rsidRDefault="00D71D29" w:rsidP="00D71D29">
            <w:pPr>
              <w:jc w:val="center"/>
              <w:rPr>
                <w:rFonts w:cstheme="minorHAnsi"/>
              </w:rPr>
            </w:pPr>
            <w:r w:rsidRPr="00554A55">
              <w:rPr>
                <w:rFonts w:cstheme="minorHAnsi"/>
              </w:rPr>
              <w:t>A contract specific price range based on its delta value computed and updated on daily basis.</w:t>
            </w:r>
          </w:p>
        </w:tc>
      </w:tr>
      <w:tr w:rsidR="00D71D29" w:rsidRPr="00554A55" w14:paraId="1F2D53DB" w14:textId="77777777" w:rsidTr="003F467C">
        <w:trPr>
          <w:trHeight w:val="292"/>
        </w:trPr>
        <w:tc>
          <w:tcPr>
            <w:tcW w:w="3898" w:type="dxa"/>
          </w:tcPr>
          <w:p w14:paraId="0C38985A" w14:textId="77777777" w:rsidR="00D71D29" w:rsidRPr="00554A55" w:rsidRDefault="00D71D29" w:rsidP="00D71D29">
            <w:pPr>
              <w:jc w:val="center"/>
              <w:rPr>
                <w:rFonts w:cstheme="minorHAnsi"/>
                <w:b/>
              </w:rPr>
            </w:pPr>
            <w:r w:rsidRPr="00554A55">
              <w:rPr>
                <w:rFonts w:cstheme="minorHAnsi"/>
                <w:b/>
              </w:rPr>
              <w:t>Maximum Quantity Limit</w:t>
            </w:r>
          </w:p>
        </w:tc>
        <w:tc>
          <w:tcPr>
            <w:tcW w:w="6032" w:type="dxa"/>
          </w:tcPr>
          <w:p w14:paraId="723966E5" w14:textId="77777777" w:rsidR="00D71D29" w:rsidRPr="00554A55" w:rsidRDefault="00D71D29" w:rsidP="00D71D29">
            <w:pPr>
              <w:jc w:val="center"/>
              <w:rPr>
                <w:rFonts w:cstheme="minorHAnsi"/>
              </w:rPr>
            </w:pPr>
            <w:r w:rsidRPr="00554A55">
              <w:rPr>
                <w:rFonts w:cstheme="minorHAnsi"/>
              </w:rPr>
              <w:t>1250 Lots</w:t>
            </w:r>
          </w:p>
        </w:tc>
      </w:tr>
      <w:tr w:rsidR="00D71D29" w:rsidRPr="00554A55" w14:paraId="33342B3D" w14:textId="77777777" w:rsidTr="003F467C">
        <w:trPr>
          <w:trHeight w:val="292"/>
        </w:trPr>
        <w:tc>
          <w:tcPr>
            <w:tcW w:w="3898" w:type="dxa"/>
          </w:tcPr>
          <w:p w14:paraId="28F6CB5B" w14:textId="77777777" w:rsidR="00D71D29" w:rsidRPr="00554A55" w:rsidRDefault="00D71D29" w:rsidP="00D71D29">
            <w:pPr>
              <w:jc w:val="center"/>
              <w:rPr>
                <w:rFonts w:cstheme="minorHAnsi"/>
                <w:b/>
              </w:rPr>
            </w:pPr>
            <w:r w:rsidRPr="00554A55">
              <w:rPr>
                <w:rFonts w:cstheme="minorHAnsi"/>
                <w:b/>
              </w:rPr>
              <w:t>Base price</w:t>
            </w:r>
          </w:p>
        </w:tc>
        <w:tc>
          <w:tcPr>
            <w:tcW w:w="6032" w:type="dxa"/>
          </w:tcPr>
          <w:p w14:paraId="1EE430E3" w14:textId="77777777" w:rsidR="00D71D29" w:rsidRPr="00554A55" w:rsidRDefault="00D71D29" w:rsidP="00D71D29">
            <w:pPr>
              <w:jc w:val="center"/>
              <w:rPr>
                <w:rFonts w:cstheme="minorHAnsi"/>
              </w:rPr>
            </w:pPr>
            <w:r w:rsidRPr="00554A55">
              <w:rPr>
                <w:rFonts w:cstheme="minorHAnsi"/>
              </w:rPr>
              <w:t>Theoretical price of the first day of the contract. On all other days, quote price corresponding to the daily settlement price of the contracts</w:t>
            </w:r>
          </w:p>
        </w:tc>
      </w:tr>
      <w:tr w:rsidR="00D71D29" w:rsidRPr="00554A55" w14:paraId="5E27144D" w14:textId="77777777" w:rsidTr="003F467C">
        <w:trPr>
          <w:trHeight w:val="292"/>
        </w:trPr>
        <w:tc>
          <w:tcPr>
            <w:tcW w:w="3898" w:type="dxa"/>
          </w:tcPr>
          <w:p w14:paraId="736B9488" w14:textId="77777777" w:rsidR="00D71D29" w:rsidRPr="00554A55" w:rsidRDefault="00D71D29" w:rsidP="00D71D29">
            <w:pPr>
              <w:jc w:val="center"/>
              <w:rPr>
                <w:rFonts w:cstheme="minorHAnsi"/>
                <w:b/>
              </w:rPr>
            </w:pPr>
            <w:r w:rsidRPr="00554A55">
              <w:rPr>
                <w:rFonts w:cstheme="minorHAnsi"/>
                <w:b/>
              </w:rPr>
              <w:t>Expiry / Last Trading Day</w:t>
            </w:r>
          </w:p>
        </w:tc>
        <w:tc>
          <w:tcPr>
            <w:tcW w:w="6032" w:type="dxa"/>
          </w:tcPr>
          <w:p w14:paraId="012E094A" w14:textId="77777777" w:rsidR="00D71D29" w:rsidRPr="00554A55" w:rsidRDefault="00D71D29" w:rsidP="00D71D29">
            <w:pPr>
              <w:jc w:val="center"/>
              <w:rPr>
                <w:rFonts w:cstheme="minorHAnsi"/>
              </w:rPr>
            </w:pPr>
            <w:r w:rsidRPr="00554A55">
              <w:rPr>
                <w:rFonts w:cstheme="minorHAnsi"/>
              </w:rPr>
              <w:t>Last Thursday of the expiry month. If last thursday is a trading holiday than previous working day would be expiry/last trading day</w:t>
            </w:r>
          </w:p>
        </w:tc>
      </w:tr>
      <w:tr w:rsidR="00D71D29" w:rsidRPr="00554A55" w14:paraId="0528E1FF" w14:textId="77777777" w:rsidTr="003F467C">
        <w:trPr>
          <w:trHeight w:val="292"/>
        </w:trPr>
        <w:tc>
          <w:tcPr>
            <w:tcW w:w="3898" w:type="dxa"/>
          </w:tcPr>
          <w:p w14:paraId="1C42C590" w14:textId="77777777" w:rsidR="00D71D29" w:rsidRPr="00554A55" w:rsidRDefault="00D71D29" w:rsidP="00D71D29">
            <w:pPr>
              <w:jc w:val="center"/>
              <w:rPr>
                <w:rFonts w:cstheme="minorHAnsi"/>
                <w:b/>
              </w:rPr>
            </w:pPr>
            <w:r w:rsidRPr="00554A55">
              <w:rPr>
                <w:rFonts w:cstheme="minorHAnsi"/>
                <w:b/>
              </w:rPr>
              <w:t>Exercise at Expiry</w:t>
            </w:r>
          </w:p>
        </w:tc>
        <w:tc>
          <w:tcPr>
            <w:tcW w:w="6032" w:type="dxa"/>
          </w:tcPr>
          <w:p w14:paraId="48A1E05B" w14:textId="77777777" w:rsidR="00D71D29" w:rsidRPr="00554A55" w:rsidRDefault="00D71D29" w:rsidP="00D71D29">
            <w:pPr>
              <w:jc w:val="center"/>
              <w:rPr>
                <w:rFonts w:cstheme="minorHAnsi"/>
              </w:rPr>
            </w:pPr>
            <w:r w:rsidRPr="00554A55">
              <w:rPr>
                <w:rFonts w:cstheme="minorHAnsi"/>
              </w:rPr>
              <w:t>All in-the-moneys open long contracts shall be automatically exercised at the final settlement price</w:t>
            </w:r>
          </w:p>
        </w:tc>
      </w:tr>
      <w:tr w:rsidR="00D71D29" w:rsidRPr="00554A55" w14:paraId="166489E2" w14:textId="77777777" w:rsidTr="003F467C">
        <w:trPr>
          <w:trHeight w:val="292"/>
        </w:trPr>
        <w:tc>
          <w:tcPr>
            <w:tcW w:w="3898" w:type="dxa"/>
          </w:tcPr>
          <w:p w14:paraId="0C72AC70" w14:textId="77777777" w:rsidR="00D71D29" w:rsidRPr="00554A55" w:rsidRDefault="00D71D29" w:rsidP="00D71D29">
            <w:pPr>
              <w:jc w:val="center"/>
              <w:rPr>
                <w:rFonts w:cstheme="minorHAnsi"/>
                <w:b/>
              </w:rPr>
            </w:pPr>
            <w:r w:rsidRPr="00554A55">
              <w:rPr>
                <w:rFonts w:cstheme="minorHAnsi"/>
                <w:b/>
              </w:rPr>
              <w:t>Position Limit</w:t>
            </w:r>
          </w:p>
        </w:tc>
        <w:tc>
          <w:tcPr>
            <w:tcW w:w="6032" w:type="dxa"/>
          </w:tcPr>
          <w:p w14:paraId="264DEC07" w14:textId="77777777" w:rsidR="00D71D29" w:rsidRPr="00554A55" w:rsidRDefault="00D71D29" w:rsidP="00D71D29">
            <w:pPr>
              <w:jc w:val="center"/>
              <w:rPr>
                <w:rFonts w:cstheme="minorHAnsi"/>
              </w:rPr>
            </w:pPr>
            <w:r w:rsidRPr="00554A55">
              <w:rPr>
                <w:rFonts w:cstheme="minorHAnsi"/>
              </w:rPr>
              <w:t>Position Limit for IRF</w:t>
            </w:r>
          </w:p>
        </w:tc>
      </w:tr>
      <w:tr w:rsidR="00D71D29" w:rsidRPr="00554A55" w14:paraId="1D4C8536" w14:textId="77777777" w:rsidTr="003F467C">
        <w:trPr>
          <w:trHeight w:val="292"/>
        </w:trPr>
        <w:tc>
          <w:tcPr>
            <w:tcW w:w="3898" w:type="dxa"/>
          </w:tcPr>
          <w:p w14:paraId="2A0A6591" w14:textId="77777777" w:rsidR="00D71D29" w:rsidRPr="00554A55" w:rsidRDefault="00D71D29" w:rsidP="00D71D29">
            <w:pPr>
              <w:jc w:val="center"/>
              <w:rPr>
                <w:rFonts w:cstheme="minorHAnsi"/>
                <w:b/>
              </w:rPr>
            </w:pPr>
            <w:r w:rsidRPr="00554A55">
              <w:rPr>
                <w:rFonts w:cstheme="minorHAnsi"/>
                <w:b/>
              </w:rPr>
              <w:t>Initial Margin</w:t>
            </w:r>
          </w:p>
        </w:tc>
        <w:tc>
          <w:tcPr>
            <w:tcW w:w="6032" w:type="dxa"/>
          </w:tcPr>
          <w:p w14:paraId="6BE72392" w14:textId="77777777" w:rsidR="00D71D29" w:rsidRPr="00554A55" w:rsidRDefault="00D71D29" w:rsidP="00D71D29">
            <w:pPr>
              <w:jc w:val="center"/>
              <w:rPr>
                <w:rFonts w:cstheme="minorHAnsi"/>
              </w:rPr>
            </w:pPr>
            <w:r w:rsidRPr="00554A55">
              <w:rPr>
                <w:rFonts w:cstheme="minorHAnsi"/>
              </w:rPr>
              <w:t>SPAN based margin</w:t>
            </w:r>
          </w:p>
        </w:tc>
      </w:tr>
      <w:tr w:rsidR="00D71D29" w:rsidRPr="00554A55" w14:paraId="43942BCB" w14:textId="77777777" w:rsidTr="003F467C">
        <w:trPr>
          <w:trHeight w:val="292"/>
        </w:trPr>
        <w:tc>
          <w:tcPr>
            <w:tcW w:w="3898" w:type="dxa"/>
          </w:tcPr>
          <w:p w14:paraId="1B9F351F" w14:textId="77777777" w:rsidR="00D71D29" w:rsidRPr="00554A55" w:rsidRDefault="00D71D29" w:rsidP="00D71D29">
            <w:pPr>
              <w:jc w:val="center"/>
              <w:rPr>
                <w:rFonts w:cstheme="minorHAnsi"/>
                <w:b/>
              </w:rPr>
            </w:pPr>
            <w:r w:rsidRPr="00554A55">
              <w:rPr>
                <w:rFonts w:cstheme="minorHAnsi"/>
                <w:b/>
              </w:rPr>
              <w:t>Extreme Loss margin</w:t>
            </w:r>
          </w:p>
        </w:tc>
        <w:tc>
          <w:tcPr>
            <w:tcW w:w="6032" w:type="dxa"/>
          </w:tcPr>
          <w:p w14:paraId="45C5AB32" w14:textId="77777777" w:rsidR="00D71D29" w:rsidRPr="00554A55" w:rsidRDefault="00D71D29" w:rsidP="00D71D29">
            <w:pPr>
              <w:autoSpaceDE w:val="0"/>
              <w:autoSpaceDN w:val="0"/>
              <w:adjustRightInd w:val="0"/>
              <w:snapToGrid w:val="0"/>
              <w:jc w:val="center"/>
              <w:rPr>
                <w:rFonts w:cstheme="minorHAnsi"/>
              </w:rPr>
            </w:pPr>
            <w:r w:rsidRPr="00554A55">
              <w:rPr>
                <w:rFonts w:cstheme="minorHAnsi"/>
              </w:rPr>
              <w:t>0.50% of MTM value of open positions</w:t>
            </w:r>
          </w:p>
          <w:p w14:paraId="4B457B33" w14:textId="77777777" w:rsidR="00D71D29" w:rsidRPr="00554A55" w:rsidRDefault="00D71D29" w:rsidP="00D71D29">
            <w:pPr>
              <w:jc w:val="center"/>
              <w:rPr>
                <w:rFonts w:cstheme="minorHAnsi"/>
              </w:rPr>
            </w:pPr>
          </w:p>
        </w:tc>
      </w:tr>
      <w:tr w:rsidR="00D71D29" w:rsidRPr="00554A55" w14:paraId="79935CF1" w14:textId="77777777" w:rsidTr="003F467C">
        <w:trPr>
          <w:trHeight w:val="292"/>
        </w:trPr>
        <w:tc>
          <w:tcPr>
            <w:tcW w:w="3898" w:type="dxa"/>
          </w:tcPr>
          <w:p w14:paraId="2660E38A" w14:textId="77777777" w:rsidR="00D71D29" w:rsidRPr="00554A55" w:rsidRDefault="00D71D29" w:rsidP="00D71D29">
            <w:pPr>
              <w:jc w:val="center"/>
              <w:rPr>
                <w:rFonts w:cstheme="minorHAnsi"/>
                <w:b/>
              </w:rPr>
            </w:pPr>
            <w:r w:rsidRPr="00554A55">
              <w:rPr>
                <w:rFonts w:cstheme="minorHAnsi"/>
                <w:b/>
              </w:rPr>
              <w:t>Settlement of Premium</w:t>
            </w:r>
          </w:p>
        </w:tc>
        <w:tc>
          <w:tcPr>
            <w:tcW w:w="6032" w:type="dxa"/>
          </w:tcPr>
          <w:tbl>
            <w:tblPr>
              <w:tblW w:w="5000" w:type="pct"/>
              <w:tblCellSpacing w:w="7" w:type="dxa"/>
              <w:tblCellMar>
                <w:left w:w="0" w:type="dxa"/>
                <w:right w:w="0" w:type="dxa"/>
              </w:tblCellMar>
              <w:tblLook w:val="04A0" w:firstRow="1" w:lastRow="0" w:firstColumn="1" w:lastColumn="0" w:noHBand="0" w:noVBand="1"/>
            </w:tblPr>
            <w:tblGrid>
              <w:gridCol w:w="283"/>
              <w:gridCol w:w="5533"/>
            </w:tblGrid>
            <w:tr w:rsidR="00D71D29" w:rsidRPr="00554A55" w14:paraId="0A1C7FC5" w14:textId="77777777" w:rsidTr="003F467C">
              <w:trPr>
                <w:trHeight w:val="375"/>
                <w:tblCellSpacing w:w="7" w:type="dxa"/>
              </w:trPr>
              <w:tc>
                <w:tcPr>
                  <w:tcW w:w="0" w:type="auto"/>
                  <w:shd w:val="clear" w:color="auto" w:fill="FFFFFF"/>
                  <w:tcMar>
                    <w:top w:w="0" w:type="dxa"/>
                    <w:left w:w="150" w:type="dxa"/>
                    <w:bottom w:w="0" w:type="dxa"/>
                    <w:right w:w="75" w:type="dxa"/>
                  </w:tcMar>
                  <w:hideMark/>
                </w:tcPr>
                <w:p w14:paraId="6E05E1F9" w14:textId="77777777" w:rsidR="00D71D29" w:rsidRPr="00554A55" w:rsidRDefault="00D71D29" w:rsidP="00D71D29">
                  <w:pPr>
                    <w:spacing w:after="0" w:line="240" w:lineRule="auto"/>
                    <w:jc w:val="center"/>
                    <w:rPr>
                      <w:rFonts w:eastAsia="Times New Roman" w:cstheme="minorHAnsi"/>
                      <w:lang w:eastAsia="en-IN"/>
                    </w:rPr>
                  </w:pPr>
                </w:p>
              </w:tc>
              <w:tc>
                <w:tcPr>
                  <w:tcW w:w="0" w:type="auto"/>
                  <w:shd w:val="clear" w:color="auto" w:fill="FFFFFF"/>
                  <w:tcMar>
                    <w:top w:w="0" w:type="dxa"/>
                    <w:left w:w="150" w:type="dxa"/>
                    <w:bottom w:w="0" w:type="dxa"/>
                    <w:right w:w="75" w:type="dxa"/>
                  </w:tcMar>
                  <w:hideMark/>
                </w:tcPr>
                <w:p w14:paraId="72BAFA2D" w14:textId="77777777" w:rsidR="00D71D29" w:rsidRPr="00554A55" w:rsidRDefault="00D71D29" w:rsidP="00D71D29">
                  <w:pPr>
                    <w:spacing w:after="0" w:line="240" w:lineRule="auto"/>
                    <w:jc w:val="center"/>
                    <w:rPr>
                      <w:rFonts w:eastAsia="Times New Roman" w:cstheme="minorHAnsi"/>
                      <w:color w:val="000000"/>
                      <w:lang w:eastAsia="en-IN"/>
                    </w:rPr>
                  </w:pPr>
                  <w:r w:rsidRPr="00554A55">
                    <w:rPr>
                      <w:rFonts w:cstheme="minorHAnsi"/>
                    </w:rPr>
                    <w:t>Premium to be paid by the buyer in cash on T+1 day</w:t>
                  </w:r>
                </w:p>
              </w:tc>
            </w:tr>
          </w:tbl>
          <w:p w14:paraId="025E5FF1" w14:textId="77777777" w:rsidR="00D71D29" w:rsidRPr="00554A55" w:rsidRDefault="00D71D29" w:rsidP="00D71D29">
            <w:pPr>
              <w:jc w:val="center"/>
              <w:rPr>
                <w:rFonts w:cstheme="minorHAnsi"/>
              </w:rPr>
            </w:pPr>
          </w:p>
        </w:tc>
      </w:tr>
      <w:tr w:rsidR="00D71D29" w:rsidRPr="00554A55" w14:paraId="71641829" w14:textId="77777777" w:rsidTr="003F467C">
        <w:trPr>
          <w:trHeight w:val="308"/>
        </w:trPr>
        <w:tc>
          <w:tcPr>
            <w:tcW w:w="3898" w:type="dxa"/>
          </w:tcPr>
          <w:p w14:paraId="256172D4" w14:textId="77777777" w:rsidR="00D71D29" w:rsidRPr="00554A55" w:rsidRDefault="00D71D29" w:rsidP="00D71D29">
            <w:pPr>
              <w:jc w:val="center"/>
              <w:rPr>
                <w:rFonts w:cstheme="minorHAnsi"/>
                <w:b/>
              </w:rPr>
            </w:pPr>
            <w:r w:rsidRPr="00554A55">
              <w:rPr>
                <w:rFonts w:cstheme="minorHAnsi"/>
                <w:b/>
              </w:rPr>
              <w:t>Settlement</w:t>
            </w:r>
          </w:p>
        </w:tc>
        <w:tc>
          <w:tcPr>
            <w:tcW w:w="6032" w:type="dxa"/>
          </w:tcPr>
          <w:p w14:paraId="267F015D" w14:textId="77777777" w:rsidR="00D71D29" w:rsidRPr="00554A55" w:rsidRDefault="00D71D29" w:rsidP="00D71D29">
            <w:pPr>
              <w:jc w:val="center"/>
              <w:rPr>
                <w:rFonts w:cstheme="minorHAnsi"/>
              </w:rPr>
            </w:pPr>
            <w:r w:rsidRPr="00554A55">
              <w:rPr>
                <w:rFonts w:cstheme="minorHAnsi"/>
              </w:rPr>
              <w:t>Daily as well as final settlement on T+1 day</w:t>
            </w:r>
          </w:p>
        </w:tc>
      </w:tr>
      <w:tr w:rsidR="00D71D29" w:rsidRPr="00554A55" w14:paraId="24A96577" w14:textId="77777777" w:rsidTr="003F467C">
        <w:trPr>
          <w:trHeight w:val="325"/>
        </w:trPr>
        <w:tc>
          <w:tcPr>
            <w:tcW w:w="3898" w:type="dxa"/>
          </w:tcPr>
          <w:p w14:paraId="27FFD2C2" w14:textId="77777777" w:rsidR="00D71D29" w:rsidRPr="00554A55" w:rsidRDefault="00D71D29" w:rsidP="00D71D29">
            <w:pPr>
              <w:jc w:val="center"/>
              <w:rPr>
                <w:rFonts w:cstheme="minorHAnsi"/>
                <w:b/>
              </w:rPr>
            </w:pPr>
            <w:r w:rsidRPr="00554A55">
              <w:rPr>
                <w:rFonts w:cstheme="minorHAnsi"/>
                <w:b/>
              </w:rPr>
              <w:t>Mode of Settlement</w:t>
            </w:r>
          </w:p>
        </w:tc>
        <w:tc>
          <w:tcPr>
            <w:tcW w:w="6032" w:type="dxa"/>
          </w:tcPr>
          <w:p w14:paraId="1C452BAE" w14:textId="77777777" w:rsidR="00D71D29" w:rsidRPr="00554A55" w:rsidRDefault="00D71D29" w:rsidP="00D71D29">
            <w:pPr>
              <w:jc w:val="center"/>
              <w:rPr>
                <w:rFonts w:cstheme="minorHAnsi"/>
              </w:rPr>
            </w:pPr>
            <w:r w:rsidRPr="00554A55">
              <w:rPr>
                <w:rFonts w:cstheme="minorHAnsi"/>
              </w:rPr>
              <w:t>Cash settled in Indian Rupees</w:t>
            </w:r>
          </w:p>
        </w:tc>
      </w:tr>
      <w:tr w:rsidR="00D71D29" w:rsidRPr="00554A55" w14:paraId="6B18C76D" w14:textId="77777777" w:rsidTr="003F467C">
        <w:trPr>
          <w:trHeight w:val="292"/>
        </w:trPr>
        <w:tc>
          <w:tcPr>
            <w:tcW w:w="3898" w:type="dxa"/>
          </w:tcPr>
          <w:p w14:paraId="11A64300" w14:textId="77777777" w:rsidR="00D71D29" w:rsidRPr="00554A55" w:rsidRDefault="00D71D29" w:rsidP="00D71D29">
            <w:pPr>
              <w:jc w:val="center"/>
              <w:rPr>
                <w:rFonts w:cstheme="minorHAnsi"/>
                <w:b/>
              </w:rPr>
            </w:pPr>
            <w:r w:rsidRPr="00554A55">
              <w:rPr>
                <w:rFonts w:cstheme="minorHAnsi"/>
                <w:b/>
              </w:rPr>
              <w:t>Daily Settlement Price (DSP)</w:t>
            </w:r>
          </w:p>
        </w:tc>
        <w:tc>
          <w:tcPr>
            <w:tcW w:w="6032" w:type="dxa"/>
          </w:tcPr>
          <w:p w14:paraId="32651664" w14:textId="77777777" w:rsidR="00D71D29" w:rsidRPr="00554A55" w:rsidRDefault="00D71D29" w:rsidP="00D71D29">
            <w:pPr>
              <w:jc w:val="both"/>
              <w:rPr>
                <w:rFonts w:cstheme="minorHAnsi"/>
              </w:rPr>
            </w:pPr>
            <w:r w:rsidRPr="00554A55">
              <w:rPr>
                <w:rFonts w:cstheme="minorHAnsi"/>
              </w:rPr>
              <w:t>DSP shall be the closing price of such contracts on the trading day. The closing price for the contract shall be calculated on the basis of the last half an hour weighted average price of such contract or other such time interval as may be specified from time to time. In the absence of availability of live prices, Theoretical Price Model shall be used to compute the DSP for the contract shall be used for settlement</w:t>
            </w:r>
          </w:p>
        </w:tc>
      </w:tr>
      <w:tr w:rsidR="00D71D29" w:rsidRPr="00554A55" w14:paraId="062EB5F9" w14:textId="77777777" w:rsidTr="00D6411C">
        <w:trPr>
          <w:trHeight w:val="1115"/>
        </w:trPr>
        <w:tc>
          <w:tcPr>
            <w:tcW w:w="3898" w:type="dxa"/>
          </w:tcPr>
          <w:p w14:paraId="30A79D48" w14:textId="77777777" w:rsidR="00D71D29" w:rsidRPr="00554A55" w:rsidRDefault="00D71D29" w:rsidP="00D71D29">
            <w:pPr>
              <w:jc w:val="center"/>
              <w:rPr>
                <w:rFonts w:cstheme="minorHAnsi"/>
                <w:b/>
              </w:rPr>
            </w:pPr>
            <w:r w:rsidRPr="00554A55">
              <w:rPr>
                <w:rFonts w:cstheme="minorHAnsi"/>
                <w:b/>
              </w:rPr>
              <w:t>Final Settlement Price (FSP)</w:t>
            </w:r>
          </w:p>
        </w:tc>
        <w:tc>
          <w:tcPr>
            <w:tcW w:w="6032" w:type="dxa"/>
          </w:tcPr>
          <w:p w14:paraId="29499039" w14:textId="77777777" w:rsidR="00D71D29" w:rsidRPr="00554A55" w:rsidRDefault="00D71D29" w:rsidP="00D71D29">
            <w:pPr>
              <w:jc w:val="both"/>
              <w:rPr>
                <w:rFonts w:cstheme="minorHAnsi"/>
              </w:rPr>
            </w:pPr>
            <w:r w:rsidRPr="00554A55">
              <w:rPr>
                <w:rFonts w:cstheme="minorHAnsi"/>
              </w:rPr>
              <w:t>Final settlement price shall be volume weighted average price of the last 2 hours of trading on NDS-OM the underlying bond. If less than 5 trades are executed in the underlying bond during the last 2 hours of trading, then FBIL price shall be used for final settlement.</w:t>
            </w:r>
          </w:p>
        </w:tc>
      </w:tr>
    </w:tbl>
    <w:p w14:paraId="4907CE13" w14:textId="77777777" w:rsidR="00554A55" w:rsidRPr="00554A55" w:rsidRDefault="00554A55" w:rsidP="00D6411C">
      <w:pPr>
        <w:rPr>
          <w:rFonts w:cstheme="minorHAnsi"/>
        </w:rPr>
      </w:pPr>
    </w:p>
    <w:sectPr w:rsidR="00554A55" w:rsidRPr="00554A55" w:rsidSect="00D46FAE">
      <w:footerReference w:type="default" r:id="rId12"/>
      <w:pgSz w:w="11906" w:h="16838"/>
      <w:pgMar w:top="81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F074D" w14:textId="77777777" w:rsidR="001C265B" w:rsidRDefault="001C265B" w:rsidP="001C265B">
      <w:pPr>
        <w:spacing w:after="0" w:line="240" w:lineRule="auto"/>
      </w:pPr>
      <w:r>
        <w:separator/>
      </w:r>
    </w:p>
  </w:endnote>
  <w:endnote w:type="continuationSeparator" w:id="0">
    <w:p w14:paraId="5C7BF9F5" w14:textId="77777777" w:rsidR="001C265B" w:rsidRDefault="001C265B" w:rsidP="001C2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71B1E" w14:textId="77777777" w:rsidR="001C265B" w:rsidRDefault="00554A55">
    <w:pPr>
      <w:pStyle w:val="Footer"/>
    </w:pPr>
    <w:r>
      <w:rPr>
        <w:noProof/>
      </w:rPr>
      <mc:AlternateContent>
        <mc:Choice Requires="wps">
          <w:drawing>
            <wp:anchor distT="0" distB="0" distL="114300" distR="114300" simplePos="0" relativeHeight="251659264" behindDoc="0" locked="0" layoutInCell="1" allowOverlap="1" wp14:anchorId="106B5288" wp14:editId="0049D479">
              <wp:simplePos x="0" y="0"/>
              <wp:positionH relativeFrom="column">
                <wp:posOffset>2399030</wp:posOffset>
              </wp:positionH>
              <wp:positionV relativeFrom="paragraph">
                <wp:posOffset>239395</wp:posOffset>
              </wp:positionV>
              <wp:extent cx="1071314"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1071314"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68C7C0" w14:textId="77777777" w:rsidR="00554A55" w:rsidRPr="00554A55" w:rsidRDefault="00554A55">
                          <w:pPr>
                            <w:rPr>
                              <w:rFonts w:ascii="Arial" w:hAnsi="Arial" w:cs="Arial"/>
                              <w:color w:val="45C745"/>
                              <w:sz w:val="18"/>
                            </w:rPr>
                          </w:pPr>
                          <w:r w:rsidRPr="00554A55">
                            <w:rPr>
                              <w:rFonts w:ascii="Arial" w:hAnsi="Arial" w:cs="Arial"/>
                              <w:color w:val="45C745"/>
                              <w:sz w:val="18"/>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6B5288" id="_x0000_t202" coordsize="21600,21600" o:spt="202" path="m,l,21600r21600,l21600,xe">
              <v:stroke joinstyle="miter"/>
              <v:path gradientshapeok="t" o:connecttype="rect"/>
            </v:shapetype>
            <v:shape id="expertsource_setting_footer" o:spid="_x0000_s1026" type="#_x0000_t202" style="position:absolute;margin-left:188.9pt;margin-top:18.85pt;width:84.3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" filled="f" stroked="f" strokeweight=".5pt">
              <v:textbox>
                <w:txbxContent>
                  <w:p w14:paraId="2B68C7C0" w14:textId="77777777" w:rsidR="00554A55" w:rsidRPr="00554A55" w:rsidRDefault="00554A55">
                    <w:pPr>
                      <w:rPr>
                        <w:rFonts w:ascii="Arial" w:hAnsi="Arial" w:cs="Arial"/>
                        <w:color w:val="45C745"/>
                        <w:sz w:val="18"/>
                      </w:rPr>
                    </w:pPr>
                    <w:r w:rsidRPr="00554A55">
                      <w:rPr>
                        <w:rFonts w:ascii="Arial" w:hAnsi="Arial" w:cs="Arial"/>
                        <w:color w:val="45C745"/>
                        <w:sz w:val="18"/>
                      </w:rPr>
                      <w:t>BSE - PUBLIC</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76C11" w14:textId="77777777" w:rsidR="001C265B" w:rsidRDefault="001C265B" w:rsidP="001C265B">
      <w:pPr>
        <w:spacing w:after="0" w:line="240" w:lineRule="auto"/>
      </w:pPr>
      <w:r>
        <w:separator/>
      </w:r>
    </w:p>
  </w:footnote>
  <w:footnote w:type="continuationSeparator" w:id="0">
    <w:p w14:paraId="59004417" w14:textId="77777777" w:rsidR="001C265B" w:rsidRDefault="001C265B" w:rsidP="001C26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34F"/>
    <w:rsid w:val="000E300A"/>
    <w:rsid w:val="001008E4"/>
    <w:rsid w:val="00174FEC"/>
    <w:rsid w:val="001C265B"/>
    <w:rsid w:val="001D6313"/>
    <w:rsid w:val="00285178"/>
    <w:rsid w:val="00330B0E"/>
    <w:rsid w:val="0033417E"/>
    <w:rsid w:val="00352F21"/>
    <w:rsid w:val="00406642"/>
    <w:rsid w:val="004E6D3B"/>
    <w:rsid w:val="00554A55"/>
    <w:rsid w:val="005B7991"/>
    <w:rsid w:val="005C13E8"/>
    <w:rsid w:val="00623689"/>
    <w:rsid w:val="00675015"/>
    <w:rsid w:val="00712A33"/>
    <w:rsid w:val="007B421D"/>
    <w:rsid w:val="008C0A01"/>
    <w:rsid w:val="008E6C7B"/>
    <w:rsid w:val="009A1616"/>
    <w:rsid w:val="009B22BB"/>
    <w:rsid w:val="00B25BF4"/>
    <w:rsid w:val="00B70484"/>
    <w:rsid w:val="00BD20B1"/>
    <w:rsid w:val="00BE79DC"/>
    <w:rsid w:val="00BF4A09"/>
    <w:rsid w:val="00CD17CE"/>
    <w:rsid w:val="00CF37A0"/>
    <w:rsid w:val="00D46FAE"/>
    <w:rsid w:val="00D6411C"/>
    <w:rsid w:val="00D71D29"/>
    <w:rsid w:val="00ED5273"/>
    <w:rsid w:val="00F24900"/>
    <w:rsid w:val="00F37A93"/>
    <w:rsid w:val="00F472CB"/>
    <w:rsid w:val="00F9239B"/>
    <w:rsid w:val="00FA0A72"/>
    <w:rsid w:val="00FE034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02E010"/>
  <w15:chartTrackingRefBased/>
  <w15:docId w15:val="{A19CF9F3-DC00-4AFE-9CDB-FBE1D3B81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E034F"/>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B25BF4"/>
    <w:pPr>
      <w:ind w:left="720"/>
      <w:contextualSpacing/>
    </w:pPr>
  </w:style>
  <w:style w:type="paragraph" w:styleId="Header">
    <w:name w:val="header"/>
    <w:basedOn w:val="Normal"/>
    <w:link w:val="HeaderChar"/>
    <w:uiPriority w:val="99"/>
    <w:unhideWhenUsed/>
    <w:rsid w:val="001C26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65B"/>
  </w:style>
  <w:style w:type="paragraph" w:styleId="Footer">
    <w:name w:val="footer"/>
    <w:basedOn w:val="Normal"/>
    <w:link w:val="FooterChar"/>
    <w:uiPriority w:val="99"/>
    <w:unhideWhenUsed/>
    <w:rsid w:val="001C26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65B"/>
  </w:style>
  <w:style w:type="table" w:styleId="TableGrid">
    <w:name w:val="Table Grid"/>
    <w:basedOn w:val="TableNormal"/>
    <w:uiPriority w:val="39"/>
    <w:rsid w:val="00554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70484"/>
    <w:rPr>
      <w:color w:val="0563C1"/>
      <w:u w:val="single"/>
    </w:rPr>
  </w:style>
  <w:style w:type="character" w:styleId="FollowedHyperlink">
    <w:name w:val="FollowedHyperlink"/>
    <w:basedOn w:val="DefaultParagraphFont"/>
    <w:uiPriority w:val="99"/>
    <w:semiHidden/>
    <w:unhideWhenUsed/>
    <w:rsid w:val="00B704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619384">
      <w:bodyDiv w:val="1"/>
      <w:marLeft w:val="0"/>
      <w:marRight w:val="0"/>
      <w:marTop w:val="0"/>
      <w:marBottom w:val="0"/>
      <w:divBdr>
        <w:top w:val="none" w:sz="0" w:space="0" w:color="auto"/>
        <w:left w:val="none" w:sz="0" w:space="0" w:color="auto"/>
        <w:bottom w:val="none" w:sz="0" w:space="0" w:color="auto"/>
        <w:right w:val="none" w:sz="0" w:space="0" w:color="auto"/>
      </w:divBdr>
    </w:div>
    <w:div w:id="144927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Klassify>
  <SNO>1</SNO>
  <KDate>2019-10-10 20:22:44</KDate>
  <Classification>BSE - INTERNAL</Classification>
  <HostName>BSEF22EDD102</HostName>
  <Domain_User>BSELTD/sameer.vaze</Domain_User>
  <IPAdd>10.228.58.131</IPAdd>
  <FilePath>C:\Users\sameer.vaze\3D Objects\Annexure 757GS2033.docx</FilePath>
  <KID>1C666D94F3BF637063357646256175</KID>
  <UniqueName/>
  <Suggested/>
  <Justification/>
</Klassify>
</file>

<file path=customXml/item2.xml><?xml version="1.0" encoding="utf-8"?>
<Klassify>
  <SNO>2</SNO>
  <KDate>2019-10-10 20:32:00</KDate>
  <Classification>BSE - PUBLIC</Classification>
  <HostName>BSEF22EDD102</HostName>
  <Domain_User>BSELTD/sameer.vaze</Domain_User>
  <IPAdd>10.228.58.131</IPAdd>
  <FilePath>C:\Users\sameer.vaze\3D Objects\Annexure 645GS2029.docx</FilePath>
  <KID>1C666D94F3BF637063357646256175</KID>
  <UniqueName/>
  <Suggested/>
  <Justification/>
</Klassify>
</file>

<file path=customXml/item3.xml><?xml version="1.0" encoding="utf-8"?>
<ct:contentTypeSchema xmlns:ct="http://schemas.microsoft.com/office/2006/metadata/contentType" xmlns:ma="http://schemas.microsoft.com/office/2006/metadata/properties/metaAttributes" ct:_="" ma:_="" ma:contentTypeName="Document" ma:contentTypeID="0x01010030BC7B2FD3946C4DBB327C851756CF7B" ma:contentTypeVersion="7" ma:contentTypeDescription="Create a new document." ma:contentTypeScope="" ma:versionID="66266f2bcd9249f3afcc6cc7a6a32ffb">
  <xsd:schema xmlns:xsd="http://www.w3.org/2001/XMLSchema" xmlns:xs="http://www.w3.org/2001/XMLSchema" xmlns:p="http://schemas.microsoft.com/office/2006/metadata/properties" xmlns:ns3="0130770c-eca1-408c-afec-a2c0bfbf9beb" xmlns:ns4="fc7f47c6-a792-4a65-aa61-8834338bd90a" targetNamespace="http://schemas.microsoft.com/office/2006/metadata/properties" ma:root="true" ma:fieldsID="17819f0263ed2752f8971dd1473a7779" ns3:_="" ns4:_="">
    <xsd:import namespace="0130770c-eca1-408c-afec-a2c0bfbf9beb"/>
    <xsd:import namespace="fc7f47c6-a792-4a65-aa61-8834338bd90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0770c-eca1-408c-afec-a2c0bfbf9b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7f47c6-a792-4a65-aa61-8834338bd90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FCABC-D95A-4E64-AA05-C32DA4E46C44}">
  <ds:schemaRefs/>
</ds:datastoreItem>
</file>

<file path=customXml/itemProps2.xml><?xml version="1.0" encoding="utf-8"?>
<ds:datastoreItem xmlns:ds="http://schemas.openxmlformats.org/officeDocument/2006/customXml" ds:itemID="{5332AE23-DA2B-43AA-A77E-A0BC1E6CA0D4}">
  <ds:schemaRefs/>
</ds:datastoreItem>
</file>

<file path=customXml/itemProps3.xml><?xml version="1.0" encoding="utf-8"?>
<ds:datastoreItem xmlns:ds="http://schemas.openxmlformats.org/officeDocument/2006/customXml" ds:itemID="{71840ED7-F665-4498-8A48-2D777F95B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0770c-eca1-408c-afec-a2c0bfbf9beb"/>
    <ds:schemaRef ds:uri="fc7f47c6-a792-4a65-aa61-8834338bd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43C78-789E-4C32-AA1F-DACBF0117484}">
  <ds:schemaRefs>
    <ds:schemaRef ds:uri="http://schemas.microsoft.com/sharepoint/v3/contenttype/forms"/>
  </ds:schemaRefs>
</ds:datastoreItem>
</file>

<file path=customXml/itemProps5.xml><?xml version="1.0" encoding="utf-8"?>
<ds:datastoreItem xmlns:ds="http://schemas.openxmlformats.org/officeDocument/2006/customXml" ds:itemID="{C39A272E-F568-46BA-B236-FD66F192AC5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0130770c-eca1-408c-afec-a2c0bfbf9beb"/>
    <ds:schemaRef ds:uri="http://purl.org/dc/terms/"/>
    <ds:schemaRef ds:uri="fc7f47c6-a792-4a65-aa61-8834338bd90a"/>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5A422361-FFC9-4166-B310-050AF3883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Vaze</dc:creator>
  <cp:keywords/>
  <dc:description/>
  <cp:lastModifiedBy>Sameer Vaze</cp:lastModifiedBy>
  <cp:revision>3</cp:revision>
  <cp:lastPrinted>2019-10-10T15:07:00Z</cp:lastPrinted>
  <dcterms:created xsi:type="dcterms:W3CDTF">2020-06-02T07:54:00Z</dcterms:created>
  <dcterms:modified xsi:type="dcterms:W3CDTF">2020-06-02T07:55:00Z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1C666D94F3BF637063357646256175</vt:lpwstr>
  </property>
  <property fmtid="{D5CDD505-2E9C-101B-9397-08002B2CF9AE}" pid="5" name="ContentTypeId">
    <vt:lpwstr>0x01010030BC7B2FD3946C4DBB327C851756CF7B</vt:lpwstr>
  </property>
</Properties>
</file>