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0CD" w:rsidRPr="0022579A" w:rsidRDefault="006160CD" w:rsidP="006160CD">
      <w:pPr>
        <w:ind w:left="2160" w:firstLine="720"/>
        <w:rPr>
          <w:rFonts w:ascii="Arial" w:hAnsi="Arial" w:cs="Arial"/>
          <w:b/>
          <w:bCs/>
          <w:sz w:val="22"/>
          <w:szCs w:val="22"/>
          <w:u w:val="single"/>
        </w:rPr>
      </w:pPr>
      <w:r w:rsidRPr="0022579A">
        <w:rPr>
          <w:rFonts w:ascii="Arial" w:hAnsi="Arial" w:cs="Arial"/>
          <w:b/>
          <w:bCs/>
          <w:sz w:val="22"/>
          <w:szCs w:val="22"/>
          <w:u w:val="single"/>
        </w:rPr>
        <w:t>Annexure I</w:t>
      </w:r>
    </w:p>
    <w:p w:rsidR="006160CD" w:rsidRPr="0022579A" w:rsidRDefault="006160CD" w:rsidP="006160CD">
      <w:pPr>
        <w:ind w:left="2160" w:firstLine="720"/>
        <w:jc w:val="both"/>
        <w:rPr>
          <w:rFonts w:ascii="Arial" w:hAnsi="Arial" w:cs="Arial"/>
          <w:bCs/>
          <w:sz w:val="22"/>
          <w:szCs w:val="22"/>
        </w:rPr>
      </w:pPr>
    </w:p>
    <w:p w:rsidR="006160CD" w:rsidRDefault="006160CD" w:rsidP="006160CD">
      <w:pPr>
        <w:jc w:val="both"/>
        <w:rPr>
          <w:rFonts w:ascii="Calibri" w:hAnsi="Calibri" w:cs="Calibri"/>
          <w:b/>
          <w:bCs/>
          <w:u w:val="single"/>
        </w:rPr>
      </w:pPr>
      <w:r w:rsidRPr="001D6811">
        <w:rPr>
          <w:rFonts w:ascii="Calibri" w:hAnsi="Calibri" w:cs="Calibri"/>
          <w:b/>
          <w:bCs/>
          <w:u w:val="single"/>
        </w:rPr>
        <w:t xml:space="preserve">Revised market making obligation for </w:t>
      </w:r>
      <w:r>
        <w:rPr>
          <w:rFonts w:ascii="Calibri" w:hAnsi="Calibri" w:cs="Calibri"/>
          <w:b/>
          <w:bCs/>
          <w:u w:val="single"/>
        </w:rPr>
        <w:t xml:space="preserve">Designated </w:t>
      </w:r>
      <w:r w:rsidRPr="001D6811">
        <w:rPr>
          <w:rFonts w:ascii="Calibri" w:hAnsi="Calibri" w:cs="Calibri"/>
          <w:b/>
          <w:bCs/>
          <w:u w:val="single"/>
        </w:rPr>
        <w:t>secondary market maker</w:t>
      </w:r>
      <w:r>
        <w:rPr>
          <w:rFonts w:ascii="Calibri" w:hAnsi="Calibri" w:cs="Calibri"/>
          <w:b/>
          <w:bCs/>
          <w:u w:val="single"/>
        </w:rPr>
        <w:t xml:space="preserve"> (DSM) - </w:t>
      </w:r>
    </w:p>
    <w:p w:rsidR="006160CD" w:rsidRPr="001D6811" w:rsidRDefault="006160CD" w:rsidP="006160CD">
      <w:pPr>
        <w:jc w:val="both"/>
        <w:rPr>
          <w:rFonts w:ascii="Calibri" w:hAnsi="Calibri" w:cs="Calibri"/>
          <w:b/>
          <w:sz w:val="22"/>
          <w:szCs w:val="22"/>
          <w:u w:val="single"/>
        </w:rPr>
      </w:pPr>
    </w:p>
    <w:p w:rsidR="006160CD" w:rsidRPr="001D6811" w:rsidRDefault="006160CD" w:rsidP="006160CD">
      <w:pPr>
        <w:pStyle w:val="ListParagraph"/>
        <w:numPr>
          <w:ilvl w:val="0"/>
          <w:numId w:val="1"/>
        </w:numPr>
        <w:jc w:val="both"/>
        <w:rPr>
          <w:rFonts w:ascii="Calibri" w:hAnsi="Calibri" w:cs="Calibri"/>
          <w:szCs w:val="24"/>
        </w:rPr>
      </w:pPr>
      <w:r w:rsidRPr="001D6811">
        <w:rPr>
          <w:rFonts w:ascii="Calibri" w:hAnsi="Calibri" w:cs="Calibri"/>
          <w:szCs w:val="24"/>
        </w:rPr>
        <w:t xml:space="preserve">Members willing to apply for </w:t>
      </w:r>
      <w:r>
        <w:rPr>
          <w:rFonts w:ascii="Calibri" w:hAnsi="Calibri" w:cs="Calibri"/>
          <w:szCs w:val="24"/>
        </w:rPr>
        <w:t xml:space="preserve">Designated Secondary </w:t>
      </w:r>
      <w:r w:rsidRPr="001D6811">
        <w:rPr>
          <w:rFonts w:ascii="Calibri" w:hAnsi="Calibri" w:cs="Calibri"/>
          <w:szCs w:val="24"/>
        </w:rPr>
        <w:t>Market Maker</w:t>
      </w:r>
      <w:r>
        <w:rPr>
          <w:rFonts w:ascii="Calibri" w:hAnsi="Calibri" w:cs="Calibri"/>
          <w:szCs w:val="24"/>
        </w:rPr>
        <w:t xml:space="preserve"> (DSM)</w:t>
      </w:r>
      <w:r w:rsidRPr="001D6811">
        <w:rPr>
          <w:rFonts w:ascii="Calibri" w:hAnsi="Calibri" w:cs="Calibri"/>
          <w:szCs w:val="24"/>
        </w:rPr>
        <w:t xml:space="preserve"> in the Equity Derivatives segment shall apply in BEFS portal in the Pre-specified format.</w:t>
      </w:r>
    </w:p>
    <w:p w:rsidR="006160CD" w:rsidRPr="001D6811" w:rsidRDefault="006160CD" w:rsidP="006160CD">
      <w:pPr>
        <w:pStyle w:val="ListParagraph"/>
        <w:numPr>
          <w:ilvl w:val="0"/>
          <w:numId w:val="1"/>
        </w:numPr>
        <w:shd w:val="clear" w:color="auto" w:fill="FFFFFF"/>
        <w:spacing w:after="60"/>
        <w:jc w:val="both"/>
        <w:outlineLvl w:val="4"/>
        <w:rPr>
          <w:rFonts w:ascii="Calibri" w:hAnsi="Calibri" w:cs="Calibri"/>
          <w:bCs/>
          <w:iCs/>
          <w:szCs w:val="24"/>
        </w:rPr>
      </w:pPr>
      <w:r w:rsidRPr="001D6811">
        <w:rPr>
          <w:rFonts w:ascii="Calibri" w:hAnsi="Calibri" w:cs="Calibri"/>
          <w:bCs/>
          <w:iCs/>
          <w:szCs w:val="24"/>
        </w:rPr>
        <w:t xml:space="preserve">Member can apply for </w:t>
      </w:r>
      <w:r>
        <w:rPr>
          <w:rFonts w:ascii="Calibri" w:hAnsi="Calibri" w:cs="Calibri"/>
          <w:bCs/>
          <w:iCs/>
          <w:szCs w:val="24"/>
        </w:rPr>
        <w:t xml:space="preserve">DSM for self </w:t>
      </w:r>
      <w:r w:rsidRPr="001D6811">
        <w:rPr>
          <w:rFonts w:ascii="Calibri" w:hAnsi="Calibri" w:cs="Calibri"/>
          <w:bCs/>
          <w:iCs/>
          <w:szCs w:val="24"/>
        </w:rPr>
        <w:t xml:space="preserve">or for </w:t>
      </w:r>
      <w:r>
        <w:rPr>
          <w:rFonts w:ascii="Calibri" w:hAnsi="Calibri" w:cs="Calibri"/>
          <w:bCs/>
          <w:iCs/>
          <w:szCs w:val="24"/>
        </w:rPr>
        <w:t>their</w:t>
      </w:r>
      <w:r w:rsidRPr="001D6811">
        <w:rPr>
          <w:rFonts w:ascii="Calibri" w:hAnsi="Calibri" w:cs="Calibri"/>
          <w:bCs/>
          <w:iCs/>
          <w:szCs w:val="24"/>
        </w:rPr>
        <w:t xml:space="preserve"> client clearly mentioning the client code in which they intend to act as Market Maker.</w:t>
      </w:r>
    </w:p>
    <w:p w:rsidR="006160CD" w:rsidRPr="001D6811" w:rsidRDefault="006160CD" w:rsidP="006160CD">
      <w:pPr>
        <w:pStyle w:val="ListParagraph"/>
        <w:numPr>
          <w:ilvl w:val="0"/>
          <w:numId w:val="1"/>
        </w:numPr>
        <w:shd w:val="clear" w:color="auto" w:fill="FFFFFF"/>
        <w:spacing w:after="60"/>
        <w:jc w:val="both"/>
        <w:outlineLvl w:val="4"/>
        <w:rPr>
          <w:rFonts w:ascii="Calibri" w:hAnsi="Calibri" w:cs="Calibri"/>
          <w:bCs/>
          <w:iCs/>
          <w:szCs w:val="24"/>
        </w:rPr>
      </w:pPr>
      <w:r w:rsidRPr="001D6811">
        <w:rPr>
          <w:rFonts w:ascii="Calibri" w:hAnsi="Calibri" w:cs="Calibri"/>
          <w:bCs/>
          <w:iCs/>
          <w:szCs w:val="24"/>
        </w:rPr>
        <w:t>Each member shall be allowed to apply for market making in only one client code.</w:t>
      </w:r>
    </w:p>
    <w:p w:rsidR="006160CD" w:rsidRPr="001D6811" w:rsidRDefault="006160CD" w:rsidP="006160CD">
      <w:pPr>
        <w:pStyle w:val="ListParagraph"/>
        <w:numPr>
          <w:ilvl w:val="0"/>
          <w:numId w:val="1"/>
        </w:numPr>
        <w:shd w:val="clear" w:color="auto" w:fill="FFFFFF"/>
        <w:spacing w:after="60"/>
        <w:jc w:val="both"/>
        <w:outlineLvl w:val="4"/>
        <w:rPr>
          <w:rFonts w:ascii="Calibri" w:hAnsi="Calibri" w:cs="Calibri"/>
          <w:bCs/>
          <w:iCs/>
          <w:szCs w:val="24"/>
        </w:rPr>
      </w:pPr>
      <w:r w:rsidRPr="001D6811">
        <w:rPr>
          <w:rFonts w:ascii="Calibri" w:hAnsi="Calibri" w:cs="Calibri"/>
          <w:bCs/>
          <w:iCs/>
          <w:szCs w:val="24"/>
        </w:rPr>
        <w:t xml:space="preserve">Member can apply as </w:t>
      </w:r>
      <w:r>
        <w:rPr>
          <w:rFonts w:ascii="Calibri" w:hAnsi="Calibri" w:cs="Calibri"/>
          <w:bCs/>
          <w:iCs/>
          <w:szCs w:val="24"/>
        </w:rPr>
        <w:t>DSM</w:t>
      </w:r>
      <w:r w:rsidRPr="001D6811">
        <w:rPr>
          <w:rFonts w:ascii="Calibri" w:hAnsi="Calibri" w:cs="Calibri"/>
          <w:bCs/>
          <w:iCs/>
          <w:szCs w:val="24"/>
        </w:rPr>
        <w:t xml:space="preserve"> from the list of securities specified by the Exchange from time to time.</w:t>
      </w:r>
    </w:p>
    <w:p w:rsidR="006160CD" w:rsidRPr="001D6811" w:rsidRDefault="006160CD" w:rsidP="006160CD">
      <w:pPr>
        <w:pStyle w:val="ListParagraph"/>
        <w:numPr>
          <w:ilvl w:val="0"/>
          <w:numId w:val="1"/>
        </w:numPr>
        <w:jc w:val="both"/>
        <w:rPr>
          <w:rFonts w:ascii="Calibri" w:hAnsi="Calibri" w:cs="Calibri"/>
          <w:szCs w:val="24"/>
        </w:rPr>
      </w:pPr>
      <w:r w:rsidRPr="001D6811">
        <w:rPr>
          <w:rFonts w:ascii="Calibri" w:hAnsi="Calibri" w:cs="Calibri"/>
          <w:bCs/>
          <w:iCs/>
          <w:szCs w:val="24"/>
        </w:rPr>
        <w:t>Members should clearly specify the securities in which they intend to do Market Making.</w:t>
      </w:r>
    </w:p>
    <w:p w:rsidR="006160CD" w:rsidRPr="001D6811" w:rsidRDefault="006160CD" w:rsidP="006160CD">
      <w:pPr>
        <w:pStyle w:val="ListParagraph"/>
        <w:numPr>
          <w:ilvl w:val="0"/>
          <w:numId w:val="1"/>
        </w:numPr>
        <w:shd w:val="clear" w:color="auto" w:fill="FFFFFF"/>
        <w:spacing w:after="60"/>
        <w:jc w:val="both"/>
        <w:outlineLvl w:val="4"/>
        <w:rPr>
          <w:rFonts w:ascii="Calibri" w:hAnsi="Calibri" w:cs="Calibri"/>
          <w:bCs/>
          <w:iCs/>
          <w:szCs w:val="24"/>
        </w:rPr>
      </w:pPr>
      <w:r w:rsidRPr="001D6811">
        <w:rPr>
          <w:rFonts w:ascii="Calibri" w:hAnsi="Calibri" w:cs="Calibri"/>
          <w:bCs/>
          <w:iCs/>
          <w:szCs w:val="24"/>
        </w:rPr>
        <w:t xml:space="preserve">Exchange decision with respect to the selection / discontinuation of </w:t>
      </w:r>
      <w:r>
        <w:rPr>
          <w:rFonts w:ascii="Calibri" w:hAnsi="Calibri" w:cs="Calibri"/>
          <w:bCs/>
          <w:iCs/>
          <w:szCs w:val="24"/>
        </w:rPr>
        <w:t>DSM</w:t>
      </w:r>
      <w:r w:rsidRPr="001D6811">
        <w:rPr>
          <w:rFonts w:ascii="Calibri" w:hAnsi="Calibri" w:cs="Calibri"/>
          <w:bCs/>
          <w:iCs/>
          <w:szCs w:val="24"/>
        </w:rPr>
        <w:t xml:space="preserve"> shall be final and binding.</w:t>
      </w:r>
    </w:p>
    <w:p w:rsidR="006160CD" w:rsidRPr="001D6811" w:rsidRDefault="006160CD" w:rsidP="006160CD">
      <w:pPr>
        <w:pStyle w:val="ListParagraph"/>
        <w:numPr>
          <w:ilvl w:val="0"/>
          <w:numId w:val="1"/>
        </w:numPr>
        <w:shd w:val="clear" w:color="auto" w:fill="FFFFFF"/>
        <w:spacing w:after="60"/>
        <w:jc w:val="both"/>
        <w:outlineLvl w:val="4"/>
        <w:rPr>
          <w:rFonts w:ascii="Calibri" w:hAnsi="Calibri" w:cs="Calibri"/>
          <w:bCs/>
          <w:iCs/>
          <w:szCs w:val="24"/>
        </w:rPr>
      </w:pPr>
      <w:r w:rsidRPr="001D6811">
        <w:rPr>
          <w:rFonts w:ascii="Calibri" w:hAnsi="Calibri" w:cs="Calibri"/>
          <w:bCs/>
          <w:iCs/>
          <w:szCs w:val="24"/>
        </w:rPr>
        <w:t xml:space="preserve">Exchange reserves the right to suspend or discontinue any </w:t>
      </w:r>
      <w:r>
        <w:rPr>
          <w:rFonts w:ascii="Calibri" w:hAnsi="Calibri" w:cs="Calibri"/>
          <w:bCs/>
          <w:iCs/>
          <w:szCs w:val="24"/>
        </w:rPr>
        <w:t>DSM</w:t>
      </w:r>
      <w:r w:rsidRPr="001D6811">
        <w:rPr>
          <w:rFonts w:ascii="Calibri" w:hAnsi="Calibri" w:cs="Calibri"/>
          <w:bCs/>
          <w:iCs/>
          <w:szCs w:val="24"/>
        </w:rPr>
        <w:t xml:space="preserve"> in case of any mala fide intentions or interests observed by the exchange. </w:t>
      </w:r>
    </w:p>
    <w:p w:rsidR="006160CD" w:rsidRPr="001D6811" w:rsidRDefault="006160CD" w:rsidP="006160CD">
      <w:pPr>
        <w:pStyle w:val="ListParagraph"/>
        <w:jc w:val="both"/>
        <w:rPr>
          <w:rFonts w:ascii="Calibri" w:hAnsi="Calibri" w:cs="Calibri"/>
          <w:szCs w:val="24"/>
        </w:rPr>
      </w:pPr>
    </w:p>
    <w:p w:rsidR="006160CD" w:rsidRDefault="006160CD" w:rsidP="006160CD">
      <w:pPr>
        <w:jc w:val="both"/>
        <w:rPr>
          <w:rFonts w:ascii="Calibri" w:hAnsi="Calibri" w:cs="Calibri"/>
        </w:rPr>
      </w:pPr>
      <w:r w:rsidRPr="001D6811">
        <w:rPr>
          <w:rFonts w:ascii="Calibri" w:hAnsi="Calibri" w:cs="Calibri"/>
        </w:rPr>
        <w:t xml:space="preserve">Following </w:t>
      </w:r>
      <w:r>
        <w:rPr>
          <w:rFonts w:ascii="Calibri" w:hAnsi="Calibri" w:cs="Calibri"/>
        </w:rPr>
        <w:t>are</w:t>
      </w:r>
      <w:r w:rsidRPr="001D6811">
        <w:rPr>
          <w:rFonts w:ascii="Calibri" w:hAnsi="Calibri" w:cs="Calibri"/>
        </w:rPr>
        <w:t xml:space="preserve"> the </w:t>
      </w:r>
      <w:r>
        <w:rPr>
          <w:rFonts w:ascii="Calibri" w:hAnsi="Calibri" w:cs="Calibri"/>
        </w:rPr>
        <w:t xml:space="preserve">obligations of Designated Secondary </w:t>
      </w:r>
      <w:r w:rsidRPr="001D6811">
        <w:rPr>
          <w:rFonts w:ascii="Calibri" w:hAnsi="Calibri" w:cs="Calibri"/>
        </w:rPr>
        <w:t>Market Maker</w:t>
      </w:r>
      <w:r>
        <w:rPr>
          <w:rFonts w:ascii="Calibri" w:hAnsi="Calibri" w:cs="Calibri"/>
        </w:rPr>
        <w:t xml:space="preserve"> (DSM)</w:t>
      </w:r>
      <w:r w:rsidRPr="001D6811">
        <w:rPr>
          <w:rFonts w:ascii="Calibri" w:hAnsi="Calibri" w:cs="Calibri"/>
        </w:rPr>
        <w:t xml:space="preserve"> in Equity Derivatives segment </w:t>
      </w:r>
      <w:r>
        <w:rPr>
          <w:rFonts w:ascii="Calibri" w:hAnsi="Calibri" w:cs="Calibri"/>
        </w:rPr>
        <w:t xml:space="preserve">– </w:t>
      </w:r>
    </w:p>
    <w:p w:rsidR="006160CD" w:rsidRDefault="006160CD" w:rsidP="006160CD">
      <w:pPr>
        <w:jc w:val="both"/>
        <w:rPr>
          <w:rFonts w:ascii="Calibri" w:hAnsi="Calibri" w:cs="Calibri"/>
        </w:rPr>
      </w:pPr>
    </w:p>
    <w:p w:rsidR="006160CD" w:rsidRPr="00BE6F76" w:rsidRDefault="006160CD" w:rsidP="006160CD">
      <w:pPr>
        <w:pStyle w:val="ListParagraph"/>
        <w:numPr>
          <w:ilvl w:val="0"/>
          <w:numId w:val="3"/>
        </w:numPr>
        <w:jc w:val="both"/>
        <w:rPr>
          <w:rFonts w:ascii="Calibri" w:hAnsi="Calibri" w:cs="Calibri"/>
          <w:b/>
        </w:rPr>
      </w:pPr>
      <w:r w:rsidRPr="00BE6F76">
        <w:rPr>
          <w:rFonts w:ascii="Calibri" w:hAnsi="Calibri" w:cs="Calibri"/>
          <w:b/>
          <w:bCs/>
        </w:rPr>
        <w:t>Securities Eligible for Designated Secondary Market Maker –</w:t>
      </w:r>
    </w:p>
    <w:p w:rsidR="006160CD" w:rsidRPr="00BE6F76" w:rsidRDefault="006160CD" w:rsidP="006160CD">
      <w:pPr>
        <w:pStyle w:val="ListParagraph"/>
        <w:numPr>
          <w:ilvl w:val="1"/>
          <w:numId w:val="3"/>
        </w:numPr>
        <w:jc w:val="both"/>
        <w:rPr>
          <w:rFonts w:ascii="Calibri" w:hAnsi="Calibri" w:cs="Calibri"/>
        </w:rPr>
      </w:pPr>
      <w:r w:rsidRPr="00BE6F76">
        <w:rPr>
          <w:rFonts w:ascii="Calibri" w:hAnsi="Calibri" w:cs="Calibri"/>
          <w:szCs w:val="24"/>
        </w:rPr>
        <w:t xml:space="preserve">Index Futures contracts </w:t>
      </w:r>
      <w:r>
        <w:rPr>
          <w:rFonts w:ascii="Calibri" w:hAnsi="Calibri" w:cs="Calibri"/>
        </w:rPr>
        <w:t>(All contracts)</w:t>
      </w:r>
    </w:p>
    <w:p w:rsidR="006160CD" w:rsidRPr="00BE6F76" w:rsidRDefault="006160CD" w:rsidP="006160CD">
      <w:pPr>
        <w:pStyle w:val="ListParagraph"/>
        <w:numPr>
          <w:ilvl w:val="1"/>
          <w:numId w:val="3"/>
        </w:numPr>
        <w:jc w:val="both"/>
        <w:rPr>
          <w:rFonts w:ascii="Calibri" w:hAnsi="Calibri" w:cs="Calibri"/>
        </w:rPr>
      </w:pPr>
      <w:r w:rsidRPr="00BE6F76">
        <w:rPr>
          <w:rFonts w:ascii="Calibri" w:hAnsi="Calibri" w:cs="Calibri"/>
        </w:rPr>
        <w:t xml:space="preserve">Index Options </w:t>
      </w:r>
      <w:r>
        <w:rPr>
          <w:rFonts w:ascii="Calibri" w:hAnsi="Calibri" w:cs="Calibri"/>
        </w:rPr>
        <w:t>(All contracts)</w:t>
      </w:r>
    </w:p>
    <w:p w:rsidR="006160CD" w:rsidRPr="00BE6F76" w:rsidRDefault="006160CD" w:rsidP="006160CD">
      <w:pPr>
        <w:pStyle w:val="ListParagraph"/>
        <w:numPr>
          <w:ilvl w:val="1"/>
          <w:numId w:val="3"/>
        </w:numPr>
        <w:jc w:val="both"/>
        <w:rPr>
          <w:rFonts w:ascii="Calibri" w:hAnsi="Calibri" w:cs="Calibri"/>
        </w:rPr>
      </w:pPr>
      <w:r w:rsidRPr="00BE6F76">
        <w:rPr>
          <w:rFonts w:ascii="Calibri" w:hAnsi="Calibri" w:cs="Calibri"/>
          <w:szCs w:val="24"/>
        </w:rPr>
        <w:t xml:space="preserve">Stock Futures </w:t>
      </w:r>
      <w:r>
        <w:rPr>
          <w:rFonts w:ascii="Calibri" w:hAnsi="Calibri" w:cs="Calibri"/>
        </w:rPr>
        <w:t>(All contracts)</w:t>
      </w:r>
    </w:p>
    <w:p w:rsidR="006160CD" w:rsidRPr="00BE6F76" w:rsidRDefault="006160CD" w:rsidP="006160CD">
      <w:pPr>
        <w:pStyle w:val="ListParagraph"/>
        <w:numPr>
          <w:ilvl w:val="1"/>
          <w:numId w:val="3"/>
        </w:numPr>
        <w:jc w:val="both"/>
        <w:rPr>
          <w:rFonts w:ascii="Calibri" w:hAnsi="Calibri" w:cs="Calibri"/>
        </w:rPr>
      </w:pPr>
      <w:r w:rsidRPr="00BE6F76">
        <w:rPr>
          <w:rFonts w:ascii="Calibri" w:hAnsi="Calibri" w:cs="Calibri"/>
        </w:rPr>
        <w:t xml:space="preserve">Stock Options </w:t>
      </w:r>
      <w:r>
        <w:rPr>
          <w:rFonts w:ascii="Calibri" w:hAnsi="Calibri" w:cs="Calibri"/>
        </w:rPr>
        <w:t>(All contracts)</w:t>
      </w:r>
    </w:p>
    <w:p w:rsidR="006160CD" w:rsidRPr="00BE6F76" w:rsidRDefault="006160CD" w:rsidP="006160CD">
      <w:pPr>
        <w:pStyle w:val="ListParagraph"/>
        <w:ind w:left="1440"/>
        <w:jc w:val="both"/>
        <w:rPr>
          <w:rFonts w:ascii="Calibri" w:hAnsi="Calibri" w:cs="Calibri"/>
        </w:rPr>
      </w:pPr>
    </w:p>
    <w:p w:rsidR="006160CD" w:rsidRPr="00BE6F76" w:rsidRDefault="006160CD" w:rsidP="006160CD">
      <w:pPr>
        <w:pStyle w:val="ListParagraph"/>
        <w:numPr>
          <w:ilvl w:val="0"/>
          <w:numId w:val="3"/>
        </w:numPr>
        <w:jc w:val="both"/>
        <w:rPr>
          <w:rFonts w:ascii="Calibri" w:hAnsi="Calibri" w:cs="Calibri"/>
          <w:b/>
        </w:rPr>
      </w:pPr>
      <w:r w:rsidRPr="00BE6F76">
        <w:rPr>
          <w:rFonts w:ascii="Calibri" w:hAnsi="Calibri" w:cs="Calibri"/>
          <w:b/>
          <w:bCs/>
        </w:rPr>
        <w:t xml:space="preserve">Designated Secondary </w:t>
      </w:r>
      <w:r w:rsidRPr="00BE6F76">
        <w:rPr>
          <w:rFonts w:ascii="Calibri" w:hAnsi="Calibri" w:cs="Calibri"/>
          <w:b/>
          <w:bCs/>
          <w:szCs w:val="24"/>
        </w:rPr>
        <w:t>Market Maker Registration Requirement –</w:t>
      </w:r>
    </w:p>
    <w:p w:rsidR="006160CD" w:rsidRPr="00BE6F76" w:rsidRDefault="006160CD" w:rsidP="006160CD">
      <w:pPr>
        <w:ind w:left="720"/>
        <w:jc w:val="both"/>
        <w:rPr>
          <w:rFonts w:ascii="Calibri" w:hAnsi="Calibri" w:cs="Calibri"/>
          <w:szCs w:val="21"/>
        </w:rPr>
      </w:pPr>
      <w:r w:rsidRPr="00BE6F76">
        <w:rPr>
          <w:rFonts w:ascii="Calibri" w:hAnsi="Calibri" w:cs="Calibri"/>
          <w:bCs/>
        </w:rPr>
        <w:t xml:space="preserve">Mandatory for members willing to register as DSM. Members can apply for </w:t>
      </w:r>
      <w:r>
        <w:rPr>
          <w:rFonts w:ascii="Calibri" w:hAnsi="Calibri" w:cs="Calibri"/>
          <w:bCs/>
        </w:rPr>
        <w:t>DSM</w:t>
      </w:r>
      <w:r w:rsidRPr="00BE6F76">
        <w:rPr>
          <w:rFonts w:ascii="Calibri" w:hAnsi="Calibri" w:cs="Calibri"/>
          <w:bCs/>
        </w:rPr>
        <w:t xml:space="preserve"> registration anytime during the Month subject to approval of Exchange.</w:t>
      </w:r>
    </w:p>
    <w:p w:rsidR="006160CD" w:rsidRPr="00BE6F76" w:rsidRDefault="006160CD" w:rsidP="006160CD">
      <w:pPr>
        <w:pStyle w:val="ListParagraph"/>
        <w:jc w:val="both"/>
        <w:rPr>
          <w:rFonts w:ascii="Calibri" w:hAnsi="Calibri" w:cs="Calibri"/>
        </w:rPr>
      </w:pPr>
    </w:p>
    <w:p w:rsidR="006160CD" w:rsidRPr="00451E4E" w:rsidRDefault="006160CD" w:rsidP="006160CD">
      <w:pPr>
        <w:pStyle w:val="ListParagraph"/>
        <w:numPr>
          <w:ilvl w:val="0"/>
          <w:numId w:val="3"/>
        </w:numPr>
        <w:jc w:val="both"/>
        <w:rPr>
          <w:rFonts w:ascii="Calibri" w:hAnsi="Calibri" w:cs="Calibri"/>
        </w:rPr>
      </w:pPr>
      <w:r w:rsidRPr="00451E4E">
        <w:rPr>
          <w:rFonts w:ascii="Calibri" w:hAnsi="Calibri" w:cs="Calibri"/>
          <w:b/>
          <w:bCs/>
        </w:rPr>
        <w:t>Incentives –</w:t>
      </w:r>
      <w:r w:rsidRPr="00451E4E">
        <w:rPr>
          <w:rFonts w:ascii="Calibri" w:hAnsi="Calibri" w:cs="Calibri"/>
          <w:bCs/>
        </w:rPr>
        <w:t xml:space="preserve"> No Incentives shall be given to DSM.</w:t>
      </w:r>
    </w:p>
    <w:p w:rsidR="006160CD" w:rsidRPr="00190D10" w:rsidRDefault="006160CD" w:rsidP="006160CD">
      <w:pPr>
        <w:pStyle w:val="ListParagraph"/>
        <w:jc w:val="both"/>
        <w:rPr>
          <w:rFonts w:ascii="Calibri" w:hAnsi="Calibri" w:cs="Calibri"/>
        </w:rPr>
      </w:pPr>
    </w:p>
    <w:p w:rsidR="006160CD" w:rsidRPr="00BE6F76" w:rsidRDefault="006160CD" w:rsidP="006160CD">
      <w:pPr>
        <w:pStyle w:val="ListParagraph"/>
        <w:numPr>
          <w:ilvl w:val="0"/>
          <w:numId w:val="3"/>
        </w:numPr>
        <w:jc w:val="both"/>
        <w:rPr>
          <w:rFonts w:ascii="Calibri" w:hAnsi="Calibri" w:cs="Calibri"/>
        </w:rPr>
      </w:pPr>
      <w:r w:rsidRPr="00BE6F76">
        <w:rPr>
          <w:rFonts w:ascii="Calibri" w:hAnsi="Calibri" w:cs="Calibri"/>
          <w:b/>
          <w:bCs/>
        </w:rPr>
        <w:t xml:space="preserve">Presence Requirements – </w:t>
      </w:r>
    </w:p>
    <w:p w:rsidR="006160CD" w:rsidRPr="00190D10" w:rsidRDefault="006160CD" w:rsidP="006160CD">
      <w:pPr>
        <w:pStyle w:val="ListParagraph"/>
        <w:jc w:val="both"/>
        <w:rPr>
          <w:rFonts w:ascii="Calibri" w:hAnsi="Calibri" w:cs="Calibri"/>
        </w:rPr>
      </w:pPr>
      <w:r w:rsidRPr="00190D10">
        <w:rPr>
          <w:rFonts w:ascii="Calibri" w:hAnsi="Calibri" w:cs="Calibri"/>
          <w:bCs/>
        </w:rPr>
        <w:t xml:space="preserve">Provide two-way quotes in any contract of the specific security for minimum 50% of the trading hours’ time in a day for minimum 25% of trading days in a month from the date of </w:t>
      </w:r>
      <w:r>
        <w:rPr>
          <w:rFonts w:ascii="Calibri" w:hAnsi="Calibri" w:cs="Calibri"/>
          <w:bCs/>
        </w:rPr>
        <w:t>appointment as DSM.</w:t>
      </w:r>
    </w:p>
    <w:p w:rsidR="006160CD" w:rsidRPr="00BE6F76" w:rsidRDefault="006160CD" w:rsidP="006160CD">
      <w:pPr>
        <w:pStyle w:val="ListParagraph"/>
        <w:jc w:val="both"/>
        <w:rPr>
          <w:rFonts w:ascii="Calibri" w:hAnsi="Calibri" w:cs="Calibri"/>
        </w:rPr>
      </w:pPr>
    </w:p>
    <w:p w:rsidR="006160CD" w:rsidRPr="00BE6F76" w:rsidRDefault="006160CD" w:rsidP="006160CD">
      <w:pPr>
        <w:pStyle w:val="ListParagraph"/>
        <w:numPr>
          <w:ilvl w:val="0"/>
          <w:numId w:val="3"/>
        </w:numPr>
        <w:jc w:val="both"/>
        <w:rPr>
          <w:rFonts w:ascii="Calibri" w:hAnsi="Calibri" w:cs="Calibri"/>
        </w:rPr>
      </w:pPr>
      <w:r w:rsidRPr="00BE6F76">
        <w:rPr>
          <w:rFonts w:ascii="Calibri" w:hAnsi="Calibri" w:cs="Calibri"/>
          <w:b/>
        </w:rPr>
        <w:t>No of Lots –</w:t>
      </w:r>
      <w:r>
        <w:rPr>
          <w:rFonts w:ascii="Calibri" w:hAnsi="Calibri" w:cs="Calibri"/>
        </w:rPr>
        <w:t xml:space="preserve"> </w:t>
      </w:r>
      <w:r w:rsidRPr="00BE6F76">
        <w:rPr>
          <w:rFonts w:ascii="Calibri" w:hAnsi="Calibri" w:cs="Calibri"/>
        </w:rPr>
        <w:t>Minimum 1 Lot.</w:t>
      </w:r>
    </w:p>
    <w:p w:rsidR="006160CD" w:rsidRDefault="006160CD" w:rsidP="006160CD">
      <w:pPr>
        <w:pStyle w:val="ListParagraph"/>
        <w:jc w:val="both"/>
        <w:rPr>
          <w:rFonts w:ascii="Calibri" w:hAnsi="Calibri" w:cs="Calibri"/>
        </w:rPr>
      </w:pPr>
    </w:p>
    <w:p w:rsidR="006160CD" w:rsidRDefault="006160CD" w:rsidP="006160CD">
      <w:pPr>
        <w:pStyle w:val="ListParagraph"/>
        <w:numPr>
          <w:ilvl w:val="0"/>
          <w:numId w:val="3"/>
        </w:numPr>
        <w:jc w:val="both"/>
        <w:rPr>
          <w:rFonts w:ascii="Calibri" w:hAnsi="Calibri" w:cs="Calibri"/>
        </w:rPr>
      </w:pPr>
      <w:r w:rsidRPr="00BE6F76">
        <w:rPr>
          <w:rFonts w:ascii="Calibri" w:hAnsi="Calibri" w:cs="Calibri"/>
          <w:b/>
        </w:rPr>
        <w:t>D</w:t>
      </w:r>
      <w:r>
        <w:rPr>
          <w:rFonts w:ascii="Calibri" w:hAnsi="Calibri" w:cs="Calibri"/>
          <w:b/>
        </w:rPr>
        <w:t xml:space="preserve">esignated </w:t>
      </w:r>
      <w:r w:rsidRPr="00BE6F76">
        <w:rPr>
          <w:rFonts w:ascii="Calibri" w:hAnsi="Calibri" w:cs="Calibri"/>
          <w:b/>
        </w:rPr>
        <w:t>S</w:t>
      </w:r>
      <w:r>
        <w:rPr>
          <w:rFonts w:ascii="Calibri" w:hAnsi="Calibri" w:cs="Calibri"/>
          <w:b/>
        </w:rPr>
        <w:t xml:space="preserve">econdary </w:t>
      </w:r>
      <w:r w:rsidRPr="00BE6F76">
        <w:rPr>
          <w:rFonts w:ascii="Calibri" w:hAnsi="Calibri" w:cs="Calibri"/>
          <w:b/>
        </w:rPr>
        <w:t>M</w:t>
      </w:r>
      <w:r>
        <w:rPr>
          <w:rFonts w:ascii="Calibri" w:hAnsi="Calibri" w:cs="Calibri"/>
          <w:b/>
        </w:rPr>
        <w:t>arket Maker</w:t>
      </w:r>
      <w:r w:rsidRPr="00BE6F76">
        <w:rPr>
          <w:rFonts w:ascii="Calibri" w:hAnsi="Calibri" w:cs="Calibri"/>
          <w:b/>
        </w:rPr>
        <w:t xml:space="preserve"> Qualification for subsequent month </w:t>
      </w:r>
      <w:r>
        <w:rPr>
          <w:rFonts w:ascii="Calibri" w:hAnsi="Calibri" w:cs="Calibri"/>
          <w:b/>
        </w:rPr>
        <w:t>–</w:t>
      </w:r>
    </w:p>
    <w:p w:rsidR="006160CD" w:rsidRDefault="006160CD" w:rsidP="006160CD">
      <w:pPr>
        <w:pStyle w:val="ListParagraph"/>
        <w:jc w:val="both"/>
        <w:rPr>
          <w:rFonts w:ascii="Calibri" w:hAnsi="Calibri" w:cs="Calibri"/>
          <w:bCs/>
          <w:szCs w:val="24"/>
        </w:rPr>
      </w:pPr>
      <w:r>
        <w:rPr>
          <w:rFonts w:ascii="Calibri" w:hAnsi="Calibri" w:cs="Calibri"/>
        </w:rPr>
        <w:t>DSM</w:t>
      </w:r>
      <w:r w:rsidRPr="001D6811">
        <w:rPr>
          <w:rFonts w:ascii="Calibri" w:hAnsi="Calibri" w:cs="Calibri"/>
          <w:bCs/>
          <w:szCs w:val="24"/>
        </w:rPr>
        <w:t xml:space="preserve"> shall be considered as qualified Market Maker only for the securities in which he is able to fulfill above obligations and shall be automatically considered deemed Market Maker for the same securities for the subsequent month.</w:t>
      </w:r>
    </w:p>
    <w:p w:rsidR="006160CD" w:rsidRPr="00190D10" w:rsidRDefault="006160CD" w:rsidP="006160CD">
      <w:pPr>
        <w:pStyle w:val="ListParagraph"/>
        <w:jc w:val="both"/>
        <w:rPr>
          <w:rFonts w:ascii="Calibri" w:hAnsi="Calibri" w:cs="Calibri"/>
        </w:rPr>
      </w:pPr>
    </w:p>
    <w:p w:rsidR="006160CD" w:rsidRPr="00BE6F76" w:rsidRDefault="006160CD" w:rsidP="006160CD">
      <w:pPr>
        <w:pStyle w:val="ListParagraph"/>
        <w:numPr>
          <w:ilvl w:val="0"/>
          <w:numId w:val="3"/>
        </w:numPr>
        <w:jc w:val="both"/>
        <w:rPr>
          <w:rFonts w:ascii="Calibri" w:hAnsi="Calibri" w:cs="Calibri"/>
        </w:rPr>
      </w:pPr>
      <w:r w:rsidRPr="00BE6F76">
        <w:rPr>
          <w:rFonts w:ascii="Calibri" w:hAnsi="Calibri" w:cs="Calibri"/>
          <w:b/>
          <w:bCs/>
          <w:szCs w:val="24"/>
        </w:rPr>
        <w:lastRenderedPageBreak/>
        <w:t>Re-registration in case of failure to qualify as D</w:t>
      </w:r>
      <w:r>
        <w:rPr>
          <w:rFonts w:ascii="Calibri" w:hAnsi="Calibri" w:cs="Calibri"/>
          <w:b/>
          <w:bCs/>
          <w:szCs w:val="24"/>
        </w:rPr>
        <w:t>esignated Secondary Market Maker</w:t>
      </w:r>
      <w:r w:rsidRPr="00BE6F76">
        <w:rPr>
          <w:rFonts w:ascii="Calibri" w:hAnsi="Calibri" w:cs="Calibri"/>
          <w:b/>
          <w:bCs/>
          <w:szCs w:val="24"/>
        </w:rPr>
        <w:t xml:space="preserve"> in selected securities </w:t>
      </w:r>
      <w:r>
        <w:rPr>
          <w:rFonts w:ascii="Calibri" w:hAnsi="Calibri" w:cs="Calibri"/>
          <w:b/>
          <w:bCs/>
          <w:szCs w:val="24"/>
        </w:rPr>
        <w:t>–</w:t>
      </w:r>
    </w:p>
    <w:p w:rsidR="006160CD" w:rsidRDefault="006160CD" w:rsidP="006160CD">
      <w:pPr>
        <w:pStyle w:val="ListParagraph"/>
        <w:jc w:val="both"/>
        <w:rPr>
          <w:rFonts w:ascii="Calibri" w:hAnsi="Calibri" w:cs="Calibri"/>
          <w:bCs/>
          <w:szCs w:val="24"/>
        </w:rPr>
      </w:pPr>
      <w:r w:rsidRPr="001D6811">
        <w:rPr>
          <w:rFonts w:ascii="Calibri" w:hAnsi="Calibri" w:cs="Calibri"/>
          <w:bCs/>
          <w:szCs w:val="24"/>
        </w:rPr>
        <w:t xml:space="preserve">Need to re-apply as </w:t>
      </w:r>
      <w:r>
        <w:rPr>
          <w:rFonts w:ascii="Calibri" w:hAnsi="Calibri" w:cs="Calibri"/>
          <w:bCs/>
          <w:szCs w:val="24"/>
        </w:rPr>
        <w:t>DSM</w:t>
      </w:r>
      <w:r w:rsidRPr="001D6811">
        <w:rPr>
          <w:rFonts w:ascii="Calibri" w:hAnsi="Calibri" w:cs="Calibri"/>
          <w:bCs/>
          <w:szCs w:val="24"/>
        </w:rPr>
        <w:t xml:space="preserve"> on Monthly basis which shall be applicable for the subsequent Month (can reapply in last week of the Month clearly specifying list of securities and operational date)</w:t>
      </w:r>
      <w:r>
        <w:rPr>
          <w:rFonts w:ascii="Calibri" w:hAnsi="Calibri" w:cs="Calibri"/>
          <w:bCs/>
          <w:szCs w:val="24"/>
        </w:rPr>
        <w:t>.</w:t>
      </w:r>
    </w:p>
    <w:p w:rsidR="006160CD" w:rsidRPr="00D974A0" w:rsidRDefault="006160CD" w:rsidP="006160CD">
      <w:pPr>
        <w:pStyle w:val="ListParagraph"/>
        <w:jc w:val="both"/>
        <w:rPr>
          <w:rFonts w:ascii="Calibri" w:hAnsi="Calibri" w:cs="Calibri"/>
        </w:rPr>
      </w:pPr>
    </w:p>
    <w:p w:rsidR="006160CD" w:rsidRPr="0022073A" w:rsidRDefault="006160CD" w:rsidP="006160CD">
      <w:pPr>
        <w:pStyle w:val="ListParagraph"/>
        <w:numPr>
          <w:ilvl w:val="0"/>
          <w:numId w:val="3"/>
        </w:numPr>
        <w:jc w:val="both"/>
        <w:rPr>
          <w:rFonts w:ascii="Calibri" w:hAnsi="Calibri" w:cs="Calibri"/>
        </w:rPr>
      </w:pPr>
      <w:r w:rsidRPr="00BE6F76">
        <w:rPr>
          <w:rFonts w:ascii="Calibri" w:hAnsi="Calibri" w:cs="Calibri"/>
          <w:b/>
          <w:bCs/>
          <w:szCs w:val="24"/>
        </w:rPr>
        <w:t xml:space="preserve">Order </w:t>
      </w:r>
      <w:proofErr w:type="gramStart"/>
      <w:r w:rsidRPr="00BE6F76">
        <w:rPr>
          <w:rFonts w:ascii="Calibri" w:hAnsi="Calibri" w:cs="Calibri"/>
          <w:b/>
          <w:bCs/>
          <w:szCs w:val="24"/>
        </w:rPr>
        <w:t>To</w:t>
      </w:r>
      <w:proofErr w:type="gramEnd"/>
      <w:r w:rsidRPr="00BE6F76">
        <w:rPr>
          <w:rFonts w:ascii="Calibri" w:hAnsi="Calibri" w:cs="Calibri"/>
          <w:b/>
          <w:bCs/>
          <w:szCs w:val="24"/>
        </w:rPr>
        <w:t xml:space="preserve"> Trade Ratio (OTR) Check Exemption </w:t>
      </w:r>
      <w:r>
        <w:rPr>
          <w:rFonts w:ascii="Calibri" w:hAnsi="Calibri" w:cs="Calibri"/>
          <w:b/>
          <w:bCs/>
          <w:szCs w:val="24"/>
        </w:rPr>
        <w:t>–</w:t>
      </w:r>
      <w:r>
        <w:rPr>
          <w:rFonts w:ascii="Calibri" w:hAnsi="Calibri" w:cs="Calibri"/>
          <w:bCs/>
          <w:szCs w:val="24"/>
        </w:rPr>
        <w:t xml:space="preserve"> </w:t>
      </w:r>
    </w:p>
    <w:p w:rsidR="006160CD" w:rsidRDefault="006160CD" w:rsidP="006160CD">
      <w:pPr>
        <w:pStyle w:val="ListParagraph"/>
        <w:jc w:val="both"/>
        <w:rPr>
          <w:rFonts w:ascii="Calibri" w:hAnsi="Calibri" w:cs="Calibri"/>
          <w:bCs/>
          <w:szCs w:val="24"/>
        </w:rPr>
      </w:pPr>
      <w:r w:rsidRPr="001D6811">
        <w:rPr>
          <w:rFonts w:ascii="Calibri" w:hAnsi="Calibri" w:cs="Calibri"/>
          <w:bCs/>
          <w:szCs w:val="24"/>
        </w:rPr>
        <w:t xml:space="preserve">Applicable </w:t>
      </w:r>
      <w:r>
        <w:rPr>
          <w:rFonts w:ascii="Calibri" w:hAnsi="Calibri" w:cs="Calibri"/>
          <w:bCs/>
          <w:szCs w:val="24"/>
        </w:rPr>
        <w:t xml:space="preserve">to DSM </w:t>
      </w:r>
      <w:r w:rsidRPr="001D6811">
        <w:rPr>
          <w:rFonts w:ascii="Calibri" w:hAnsi="Calibri" w:cs="Calibri"/>
          <w:bCs/>
          <w:szCs w:val="24"/>
        </w:rPr>
        <w:t xml:space="preserve">in all the contracts of a security in which member is enlisted as </w:t>
      </w:r>
      <w:r>
        <w:rPr>
          <w:rFonts w:ascii="Calibri" w:hAnsi="Calibri" w:cs="Calibri"/>
          <w:bCs/>
          <w:szCs w:val="24"/>
        </w:rPr>
        <w:t>DSM.</w:t>
      </w:r>
    </w:p>
    <w:p w:rsidR="006160CD" w:rsidRPr="0022073A" w:rsidRDefault="006160CD" w:rsidP="006160CD">
      <w:pPr>
        <w:jc w:val="both"/>
        <w:rPr>
          <w:rFonts w:ascii="Calibri" w:hAnsi="Calibri" w:cs="Calibri"/>
        </w:rPr>
      </w:pPr>
    </w:p>
    <w:p w:rsidR="006160CD" w:rsidRPr="0022073A" w:rsidRDefault="006160CD" w:rsidP="006160CD">
      <w:pPr>
        <w:pStyle w:val="ListParagraph"/>
        <w:numPr>
          <w:ilvl w:val="0"/>
          <w:numId w:val="3"/>
        </w:numPr>
        <w:jc w:val="both"/>
        <w:rPr>
          <w:rFonts w:ascii="Calibri" w:hAnsi="Calibri" w:cs="Calibri"/>
        </w:rPr>
      </w:pPr>
      <w:r w:rsidRPr="0022073A">
        <w:rPr>
          <w:rFonts w:ascii="Calibri" w:hAnsi="Calibri" w:cs="Calibri"/>
          <w:b/>
          <w:bCs/>
          <w:szCs w:val="24"/>
        </w:rPr>
        <w:t>Reversal Trade Prevention Check (RTPC) Exemption –</w:t>
      </w:r>
      <w:r w:rsidRPr="0022073A">
        <w:rPr>
          <w:rFonts w:ascii="Calibri" w:hAnsi="Calibri" w:cs="Calibri"/>
          <w:bCs/>
          <w:szCs w:val="24"/>
        </w:rPr>
        <w:t xml:space="preserve"> Applicable to DSM </w:t>
      </w:r>
    </w:p>
    <w:p w:rsidR="006160CD" w:rsidRPr="0022073A" w:rsidRDefault="006160CD" w:rsidP="006160CD">
      <w:pPr>
        <w:pStyle w:val="ListParagraph"/>
        <w:jc w:val="both"/>
        <w:rPr>
          <w:rFonts w:ascii="Calibri" w:hAnsi="Calibri" w:cs="Calibri"/>
          <w:b/>
        </w:rPr>
      </w:pPr>
    </w:p>
    <w:p w:rsidR="006160CD" w:rsidRPr="0022073A" w:rsidRDefault="006160CD" w:rsidP="006160CD">
      <w:pPr>
        <w:pStyle w:val="ListParagraph"/>
        <w:numPr>
          <w:ilvl w:val="0"/>
          <w:numId w:val="3"/>
        </w:numPr>
        <w:jc w:val="both"/>
        <w:rPr>
          <w:rFonts w:ascii="Calibri" w:hAnsi="Calibri" w:cs="Calibri"/>
          <w:szCs w:val="24"/>
        </w:rPr>
      </w:pPr>
      <w:r w:rsidRPr="0022073A">
        <w:rPr>
          <w:rFonts w:ascii="Calibri" w:hAnsi="Calibri" w:cs="Calibri"/>
          <w:b/>
          <w:bCs/>
          <w:szCs w:val="24"/>
        </w:rPr>
        <w:t>Spread Requirements –</w:t>
      </w:r>
    </w:p>
    <w:p w:rsidR="006160CD" w:rsidRPr="0022073A" w:rsidRDefault="006160CD" w:rsidP="006160CD">
      <w:pPr>
        <w:pStyle w:val="ListParagraph"/>
        <w:rPr>
          <w:rFonts w:ascii="Calibri" w:hAnsi="Calibri" w:cs="Calibri"/>
          <w:szCs w:val="24"/>
        </w:rPr>
      </w:pPr>
    </w:p>
    <w:tbl>
      <w:tblPr>
        <w:tblStyle w:val="TableGrid"/>
        <w:tblW w:w="0" w:type="auto"/>
        <w:tblInd w:w="-5" w:type="dxa"/>
        <w:tblLook w:val="04A0" w:firstRow="1" w:lastRow="0" w:firstColumn="1" w:lastColumn="0" w:noHBand="0" w:noVBand="1"/>
      </w:tblPr>
      <w:tblGrid>
        <w:gridCol w:w="546"/>
        <w:gridCol w:w="3905"/>
        <w:gridCol w:w="4904"/>
      </w:tblGrid>
      <w:tr w:rsidR="006160CD" w:rsidRPr="0022073A" w:rsidTr="002D0EB7">
        <w:trPr>
          <w:trHeight w:val="300"/>
        </w:trPr>
        <w:tc>
          <w:tcPr>
            <w:tcW w:w="600" w:type="dxa"/>
            <w:noWrap/>
            <w:hideMark/>
          </w:tcPr>
          <w:p w:rsidR="006160CD" w:rsidRPr="0022073A" w:rsidRDefault="006160CD" w:rsidP="002D0EB7">
            <w:pPr>
              <w:jc w:val="both"/>
              <w:rPr>
                <w:rFonts w:ascii="Calibri" w:hAnsi="Calibri" w:cs="Calibri"/>
                <w:b/>
                <w:bCs/>
              </w:rPr>
            </w:pPr>
            <w:r w:rsidRPr="0022073A">
              <w:rPr>
                <w:rFonts w:ascii="Calibri" w:hAnsi="Calibri" w:cs="Calibri"/>
                <w:b/>
                <w:bCs/>
              </w:rPr>
              <w:t>Sr No</w:t>
            </w:r>
          </w:p>
        </w:tc>
        <w:tc>
          <w:tcPr>
            <w:tcW w:w="4500" w:type="dxa"/>
            <w:noWrap/>
            <w:hideMark/>
          </w:tcPr>
          <w:p w:rsidR="006160CD" w:rsidRPr="0022073A" w:rsidRDefault="006160CD" w:rsidP="002D0EB7">
            <w:pPr>
              <w:jc w:val="both"/>
              <w:rPr>
                <w:rFonts w:ascii="Calibri" w:hAnsi="Calibri" w:cs="Calibri"/>
                <w:b/>
                <w:bCs/>
              </w:rPr>
            </w:pPr>
            <w:r w:rsidRPr="0022073A">
              <w:rPr>
                <w:rFonts w:ascii="Calibri" w:hAnsi="Calibri" w:cs="Calibri"/>
                <w:b/>
                <w:bCs/>
              </w:rPr>
              <w:t>Product</w:t>
            </w:r>
          </w:p>
        </w:tc>
        <w:tc>
          <w:tcPr>
            <w:tcW w:w="5660" w:type="dxa"/>
            <w:noWrap/>
            <w:hideMark/>
          </w:tcPr>
          <w:p w:rsidR="006160CD" w:rsidRPr="0022073A" w:rsidRDefault="006160CD" w:rsidP="002D0EB7">
            <w:pPr>
              <w:jc w:val="both"/>
              <w:rPr>
                <w:rFonts w:ascii="Calibri" w:hAnsi="Calibri" w:cs="Calibri"/>
                <w:b/>
                <w:bCs/>
              </w:rPr>
            </w:pPr>
            <w:r>
              <w:rPr>
                <w:rFonts w:ascii="Calibri" w:hAnsi="Calibri" w:cs="Calibri"/>
                <w:b/>
                <w:bCs/>
              </w:rPr>
              <w:t xml:space="preserve">Max. permissible </w:t>
            </w:r>
            <w:r w:rsidRPr="0022073A">
              <w:rPr>
                <w:rFonts w:ascii="Calibri" w:hAnsi="Calibri" w:cs="Calibri"/>
                <w:b/>
                <w:bCs/>
              </w:rPr>
              <w:t>Spread Requirements between bid and offer price -</w:t>
            </w:r>
          </w:p>
        </w:tc>
      </w:tr>
      <w:tr w:rsidR="006160CD" w:rsidRPr="0022073A" w:rsidTr="002D0EB7">
        <w:trPr>
          <w:trHeight w:val="315"/>
        </w:trPr>
        <w:tc>
          <w:tcPr>
            <w:tcW w:w="600" w:type="dxa"/>
            <w:noWrap/>
            <w:hideMark/>
          </w:tcPr>
          <w:p w:rsidR="006160CD" w:rsidRPr="0022073A" w:rsidRDefault="006160CD" w:rsidP="002D0EB7">
            <w:pPr>
              <w:jc w:val="both"/>
              <w:rPr>
                <w:rFonts w:ascii="Calibri" w:hAnsi="Calibri" w:cs="Calibri"/>
              </w:rPr>
            </w:pPr>
            <w:proofErr w:type="spellStart"/>
            <w:r w:rsidRPr="0022073A">
              <w:rPr>
                <w:rFonts w:ascii="Calibri" w:hAnsi="Calibri" w:cs="Calibri"/>
              </w:rPr>
              <w:t>i</w:t>
            </w:r>
            <w:proofErr w:type="spellEnd"/>
          </w:p>
        </w:tc>
        <w:tc>
          <w:tcPr>
            <w:tcW w:w="450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Index Futures contracts </w:t>
            </w:r>
            <w:r>
              <w:rPr>
                <w:rFonts w:ascii="Calibri" w:hAnsi="Calibri" w:cs="Calibri"/>
              </w:rPr>
              <w:t>(All contracts)</w:t>
            </w:r>
          </w:p>
        </w:tc>
        <w:tc>
          <w:tcPr>
            <w:tcW w:w="5660" w:type="dxa"/>
            <w:noWrap/>
            <w:hideMark/>
          </w:tcPr>
          <w:p w:rsidR="006160CD" w:rsidRPr="0022073A" w:rsidRDefault="006160CD" w:rsidP="002D0EB7">
            <w:pPr>
              <w:jc w:val="both"/>
              <w:rPr>
                <w:rFonts w:ascii="Calibri" w:hAnsi="Calibri" w:cs="Calibri"/>
              </w:rPr>
            </w:pPr>
            <w:r w:rsidRPr="0022073A">
              <w:rPr>
                <w:rFonts w:ascii="Calibri" w:hAnsi="Calibri" w:cs="Calibri"/>
              </w:rPr>
              <w:t>Maximum</w:t>
            </w:r>
            <w:r>
              <w:rPr>
                <w:rFonts w:ascii="Calibri" w:hAnsi="Calibri" w:cs="Calibri"/>
              </w:rPr>
              <w:t xml:space="preserve"> permissible</w:t>
            </w:r>
            <w:r w:rsidRPr="0022073A">
              <w:rPr>
                <w:rFonts w:ascii="Calibri" w:hAnsi="Calibri" w:cs="Calibri"/>
              </w:rPr>
              <w:t xml:space="preserve"> spread of 0.20 %.</w:t>
            </w:r>
          </w:p>
        </w:tc>
      </w:tr>
      <w:tr w:rsidR="006160CD" w:rsidRPr="0022073A" w:rsidTr="002D0EB7">
        <w:trPr>
          <w:trHeight w:val="315"/>
        </w:trPr>
        <w:tc>
          <w:tcPr>
            <w:tcW w:w="600" w:type="dxa"/>
            <w:noWrap/>
            <w:hideMark/>
          </w:tcPr>
          <w:p w:rsidR="006160CD" w:rsidRPr="0022073A" w:rsidRDefault="006160CD" w:rsidP="002D0EB7">
            <w:pPr>
              <w:jc w:val="both"/>
              <w:rPr>
                <w:rFonts w:ascii="Calibri" w:hAnsi="Calibri" w:cs="Calibri"/>
              </w:rPr>
            </w:pPr>
            <w:r w:rsidRPr="0022073A">
              <w:rPr>
                <w:rFonts w:ascii="Calibri" w:hAnsi="Calibri" w:cs="Calibri"/>
              </w:rPr>
              <w:t>ii</w:t>
            </w:r>
          </w:p>
        </w:tc>
        <w:tc>
          <w:tcPr>
            <w:tcW w:w="450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Index Options </w:t>
            </w:r>
            <w:r>
              <w:rPr>
                <w:rFonts w:ascii="Calibri" w:hAnsi="Calibri" w:cs="Calibri"/>
              </w:rPr>
              <w:t>(All contracts)</w:t>
            </w:r>
            <w:r w:rsidRPr="0022073A">
              <w:rPr>
                <w:rFonts w:ascii="Calibri" w:hAnsi="Calibri" w:cs="Calibri"/>
              </w:rPr>
              <w:t>)</w:t>
            </w:r>
          </w:p>
        </w:tc>
        <w:tc>
          <w:tcPr>
            <w:tcW w:w="566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Maximum </w:t>
            </w:r>
            <w:r>
              <w:rPr>
                <w:rFonts w:ascii="Calibri" w:hAnsi="Calibri" w:cs="Calibri"/>
              </w:rPr>
              <w:t xml:space="preserve">permissible </w:t>
            </w:r>
            <w:r w:rsidRPr="0022073A">
              <w:rPr>
                <w:rFonts w:ascii="Calibri" w:hAnsi="Calibri" w:cs="Calibri"/>
              </w:rPr>
              <w:t>spread of 10% or Rs. 5 (Whichever is higher)</w:t>
            </w:r>
          </w:p>
        </w:tc>
      </w:tr>
      <w:tr w:rsidR="006160CD" w:rsidRPr="0022073A" w:rsidTr="002D0EB7">
        <w:trPr>
          <w:trHeight w:val="315"/>
        </w:trPr>
        <w:tc>
          <w:tcPr>
            <w:tcW w:w="600" w:type="dxa"/>
            <w:noWrap/>
            <w:hideMark/>
          </w:tcPr>
          <w:p w:rsidR="006160CD" w:rsidRPr="0022073A" w:rsidRDefault="006160CD" w:rsidP="002D0EB7">
            <w:pPr>
              <w:jc w:val="both"/>
              <w:rPr>
                <w:rFonts w:ascii="Calibri" w:hAnsi="Calibri" w:cs="Calibri"/>
              </w:rPr>
            </w:pPr>
            <w:r w:rsidRPr="0022073A">
              <w:rPr>
                <w:rFonts w:ascii="Calibri" w:hAnsi="Calibri" w:cs="Calibri"/>
              </w:rPr>
              <w:t>iii</w:t>
            </w:r>
          </w:p>
        </w:tc>
        <w:tc>
          <w:tcPr>
            <w:tcW w:w="450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Stock Futures </w:t>
            </w:r>
            <w:r>
              <w:rPr>
                <w:rFonts w:ascii="Calibri" w:hAnsi="Calibri" w:cs="Calibri"/>
              </w:rPr>
              <w:t>(All contracts)</w:t>
            </w:r>
          </w:p>
        </w:tc>
        <w:tc>
          <w:tcPr>
            <w:tcW w:w="566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Maximum </w:t>
            </w:r>
            <w:r>
              <w:rPr>
                <w:rFonts w:ascii="Calibri" w:hAnsi="Calibri" w:cs="Calibri"/>
              </w:rPr>
              <w:t xml:space="preserve">permissible </w:t>
            </w:r>
            <w:r w:rsidRPr="0022073A">
              <w:rPr>
                <w:rFonts w:ascii="Calibri" w:hAnsi="Calibri" w:cs="Calibri"/>
              </w:rPr>
              <w:t>sprea</w:t>
            </w:r>
            <w:r>
              <w:rPr>
                <w:rFonts w:ascii="Calibri" w:hAnsi="Calibri" w:cs="Calibri"/>
              </w:rPr>
              <w:t>d of 3 %.</w:t>
            </w:r>
          </w:p>
        </w:tc>
      </w:tr>
      <w:tr w:rsidR="006160CD" w:rsidRPr="0022073A" w:rsidTr="002D0EB7">
        <w:trPr>
          <w:trHeight w:val="315"/>
        </w:trPr>
        <w:tc>
          <w:tcPr>
            <w:tcW w:w="600" w:type="dxa"/>
            <w:noWrap/>
            <w:hideMark/>
          </w:tcPr>
          <w:p w:rsidR="006160CD" w:rsidRPr="0022073A" w:rsidRDefault="006160CD" w:rsidP="002D0EB7">
            <w:pPr>
              <w:jc w:val="both"/>
              <w:rPr>
                <w:rFonts w:ascii="Calibri" w:hAnsi="Calibri" w:cs="Calibri"/>
              </w:rPr>
            </w:pPr>
            <w:r w:rsidRPr="0022073A">
              <w:rPr>
                <w:rFonts w:ascii="Calibri" w:hAnsi="Calibri" w:cs="Calibri"/>
              </w:rPr>
              <w:t>iv</w:t>
            </w:r>
          </w:p>
        </w:tc>
        <w:tc>
          <w:tcPr>
            <w:tcW w:w="450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Stock Options </w:t>
            </w:r>
            <w:r>
              <w:rPr>
                <w:rFonts w:ascii="Calibri" w:hAnsi="Calibri" w:cs="Calibri"/>
              </w:rPr>
              <w:t>(All contracts)</w:t>
            </w:r>
            <w:r w:rsidRPr="0022073A">
              <w:rPr>
                <w:rFonts w:ascii="Calibri" w:hAnsi="Calibri" w:cs="Calibri"/>
              </w:rPr>
              <w:t>)</w:t>
            </w:r>
          </w:p>
        </w:tc>
        <w:tc>
          <w:tcPr>
            <w:tcW w:w="5660" w:type="dxa"/>
            <w:noWrap/>
            <w:hideMark/>
          </w:tcPr>
          <w:p w:rsidR="006160CD" w:rsidRPr="0022073A" w:rsidRDefault="006160CD" w:rsidP="002D0EB7">
            <w:pPr>
              <w:jc w:val="both"/>
              <w:rPr>
                <w:rFonts w:ascii="Calibri" w:hAnsi="Calibri" w:cs="Calibri"/>
              </w:rPr>
            </w:pPr>
            <w:r w:rsidRPr="0022073A">
              <w:rPr>
                <w:rFonts w:ascii="Calibri" w:hAnsi="Calibri" w:cs="Calibri"/>
              </w:rPr>
              <w:t xml:space="preserve">Maximum </w:t>
            </w:r>
            <w:r>
              <w:rPr>
                <w:rFonts w:ascii="Calibri" w:hAnsi="Calibri" w:cs="Calibri"/>
              </w:rPr>
              <w:t xml:space="preserve">permissible </w:t>
            </w:r>
            <w:r w:rsidRPr="0022073A">
              <w:rPr>
                <w:rFonts w:ascii="Calibri" w:hAnsi="Calibri" w:cs="Calibri"/>
              </w:rPr>
              <w:t xml:space="preserve">spread of 10% or Rs. 5 (Whichever is higher) </w:t>
            </w:r>
          </w:p>
        </w:tc>
      </w:tr>
    </w:tbl>
    <w:p w:rsidR="006160CD" w:rsidRPr="0022073A" w:rsidRDefault="006160CD" w:rsidP="006160CD">
      <w:pPr>
        <w:jc w:val="both"/>
        <w:rPr>
          <w:rFonts w:ascii="Calibri" w:hAnsi="Calibri" w:cs="Calibri"/>
        </w:rPr>
      </w:pPr>
    </w:p>
    <w:p w:rsidR="006160CD" w:rsidRPr="001D6811" w:rsidRDefault="006160CD" w:rsidP="006160CD">
      <w:pPr>
        <w:jc w:val="both"/>
        <w:rPr>
          <w:rFonts w:ascii="Calibri" w:hAnsi="Calibri" w:cs="Calibri"/>
          <w:b/>
          <w:u w:val="single"/>
        </w:rPr>
      </w:pPr>
    </w:p>
    <w:p w:rsidR="006160CD" w:rsidRPr="001D6811" w:rsidRDefault="006160CD" w:rsidP="006160CD">
      <w:pPr>
        <w:jc w:val="center"/>
        <w:rPr>
          <w:rFonts w:ascii="Calibri" w:hAnsi="Calibri" w:cs="Calibri"/>
        </w:rPr>
      </w:pPr>
      <w:r w:rsidRPr="001D6811">
        <w:rPr>
          <w:rFonts w:ascii="Calibri" w:hAnsi="Calibri" w:cs="Calibri"/>
        </w:rPr>
        <w:t>******</w:t>
      </w:r>
    </w:p>
    <w:p w:rsidR="00905BB0" w:rsidRPr="006160CD" w:rsidRDefault="006160CD" w:rsidP="006160CD">
      <w:bookmarkStart w:id="0" w:name="_GoBack"/>
      <w:bookmarkEnd w:id="0"/>
    </w:p>
    <w:sectPr w:rsidR="00905BB0" w:rsidRPr="006160C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F92" w:rsidRDefault="00504F92" w:rsidP="0022579A">
      <w:r>
        <w:separator/>
      </w:r>
    </w:p>
  </w:endnote>
  <w:endnote w:type="continuationSeparator" w:id="0">
    <w:p w:rsidR="00504F92" w:rsidRDefault="00504F92" w:rsidP="0022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79A" w:rsidRDefault="0022579A">
    <w:pPr>
      <w:pStyle w:val="Footer"/>
    </w:pPr>
    <w:r>
      <w:rPr>
        <w:noProof/>
      </w:rPr>
      <mc:AlternateContent>
        <mc:Choice Requires="wps">
          <w:drawing>
            <wp:anchor distT="0" distB="0" distL="114300" distR="114300" simplePos="0" relativeHeight="251660288" behindDoc="0" locked="0" layoutInCell="1" allowOverlap="1">
              <wp:simplePos x="0" y="0"/>
              <wp:positionH relativeFrom="column">
                <wp:posOffset>2476500</wp:posOffset>
              </wp:positionH>
              <wp:positionV relativeFrom="paragraph">
                <wp:posOffset>413384</wp:posOffset>
              </wp:positionV>
              <wp:extent cx="1138281" cy="92075"/>
              <wp:effectExtent l="0" t="0" r="0" b="3175"/>
              <wp:wrapNone/>
              <wp:docPr id="2" name="expertsource_setting_footer"/>
              <wp:cNvGraphicFramePr/>
              <a:graphic xmlns:a="http://schemas.openxmlformats.org/drawingml/2006/main">
                <a:graphicData uri="http://schemas.microsoft.com/office/word/2010/wordprocessingShape">
                  <wps:wsp>
                    <wps:cNvSpPr txBox="1"/>
                    <wps:spPr>
                      <a:xfrm>
                        <a:off x="0" y="0"/>
                        <a:ext cx="1138281" cy="920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2579A" w:rsidRPr="0022579A" w:rsidRDefault="0022579A">
                          <w:pPr>
                            <w:rPr>
                              <w:rFonts w:ascii="Arial" w:hAnsi="Arial" w:cs="Arial"/>
                              <w:color w:val="8585FF"/>
                              <w:sz w:val="16"/>
                            </w:rPr>
                          </w:pPr>
                          <w:r w:rsidRPr="0022579A">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expertsource_setting_footer" o:spid="_x0000_s1027" type="#_x0000_t202" style="position:absolute;margin-left:195pt;margin-top:32.55pt;width:89.65pt;height:7.2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" filled="f" stroked="f" strokeweight=".5pt">
              <v:textbox>
                <w:txbxContent>
                  <w:p w:rsidR="0022579A" w:rsidRPr="0022579A" w:rsidRDefault="0022579A">
                    <w:pPr>
                      <w:rPr>
                        <w:rFonts w:ascii="Arial" w:hAnsi="Arial" w:cs="Arial"/>
                        <w:color w:val="8585FF"/>
                        <w:sz w:val="16"/>
                      </w:rPr>
                    </w:pPr>
                    <w:r w:rsidRPr="0022579A">
                      <w:rPr>
                        <w:rFonts w:ascii="Arial" w:hAnsi="Arial" w:cs="Arial"/>
                        <w:color w:val="8585FF"/>
                        <w:sz w:val="16"/>
                      </w:rPr>
                      <w:t>BSE - INTERNAL</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F92" w:rsidRDefault="00504F92" w:rsidP="0022579A">
      <w:r>
        <w:separator/>
      </w:r>
    </w:p>
  </w:footnote>
  <w:footnote w:type="continuationSeparator" w:id="0">
    <w:p w:rsidR="00504F92" w:rsidRDefault="00504F92" w:rsidP="0022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79A" w:rsidRDefault="0022579A">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2476500</wp:posOffset>
              </wp:positionH>
              <wp:positionV relativeFrom="paragraph">
                <wp:posOffset>-161925</wp:posOffset>
              </wp:positionV>
              <wp:extent cx="1138281" cy="82550"/>
              <wp:effectExtent l="0" t="0" r="0" b="0"/>
              <wp:wrapNone/>
              <wp:docPr id="1" name="expertsource_setting"/>
              <wp:cNvGraphicFramePr/>
              <a:graphic xmlns:a="http://schemas.openxmlformats.org/drawingml/2006/main">
                <a:graphicData uri="http://schemas.microsoft.com/office/word/2010/wordprocessingShape">
                  <wps:wsp>
                    <wps:cNvSpPr txBox="1"/>
                    <wps:spPr>
                      <a:xfrm>
                        <a:off x="0" y="0"/>
                        <a:ext cx="1138281" cy="82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2579A" w:rsidRPr="0022579A" w:rsidRDefault="0022579A">
                          <w:pPr>
                            <w:rPr>
                              <w:rFonts w:ascii="Arial" w:hAnsi="Arial" w:cs="Arial"/>
                              <w:color w:val="8585FF"/>
                              <w:sz w:val="16"/>
                            </w:rPr>
                          </w:pPr>
                          <w:r w:rsidRPr="0022579A">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expertsource_setting" o:spid="_x0000_s1026" type="#_x0000_t202" style="position:absolute;margin-left:195pt;margin-top:-12.75pt;width:89.65pt;height:6.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" filled="f" stroked="f" strokeweight=".5pt">
              <v:textbox>
                <w:txbxContent>
                  <w:p w:rsidR="0022579A" w:rsidRPr="0022579A" w:rsidRDefault="0022579A">
                    <w:pPr>
                      <w:rPr>
                        <w:rFonts w:ascii="Arial" w:hAnsi="Arial" w:cs="Arial"/>
                        <w:color w:val="8585FF"/>
                        <w:sz w:val="16"/>
                      </w:rPr>
                    </w:pPr>
                    <w:r w:rsidRPr="0022579A">
                      <w:rPr>
                        <w:rFonts w:ascii="Arial" w:hAnsi="Arial" w:cs="Arial"/>
                        <w:color w:val="8585FF"/>
                        <w:sz w:val="16"/>
                      </w:rPr>
                      <w:t>BSE - INTERNAL</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31DA6"/>
    <w:multiLevelType w:val="hybridMultilevel"/>
    <w:tmpl w:val="CF266188"/>
    <w:lvl w:ilvl="0" w:tplc="1EEE073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65A2A77"/>
    <w:multiLevelType w:val="hybridMultilevel"/>
    <w:tmpl w:val="13BEC69E"/>
    <w:lvl w:ilvl="0" w:tplc="2B5A888A">
      <w:start w:val="1"/>
      <w:numFmt w:val="lowerLetter"/>
      <w:lvlText w:val="%1."/>
      <w:lvlJc w:val="left"/>
      <w:pPr>
        <w:ind w:left="720" w:hanging="360"/>
      </w:pPr>
      <w:rPr>
        <w:b/>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E7444BA"/>
    <w:multiLevelType w:val="hybridMultilevel"/>
    <w:tmpl w:val="F23CA8BC"/>
    <w:lvl w:ilvl="0" w:tplc="E13A0D98">
      <w:start w:val="3"/>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5B8"/>
    <w:rsid w:val="00190D10"/>
    <w:rsid w:val="001A5841"/>
    <w:rsid w:val="001D034D"/>
    <w:rsid w:val="001D6811"/>
    <w:rsid w:val="002060B4"/>
    <w:rsid w:val="0022073A"/>
    <w:rsid w:val="0022579A"/>
    <w:rsid w:val="002E1853"/>
    <w:rsid w:val="00451E4E"/>
    <w:rsid w:val="004D0516"/>
    <w:rsid w:val="00504F92"/>
    <w:rsid w:val="005135B8"/>
    <w:rsid w:val="00550C65"/>
    <w:rsid w:val="005736DA"/>
    <w:rsid w:val="006160CD"/>
    <w:rsid w:val="007D0B64"/>
    <w:rsid w:val="007D50EC"/>
    <w:rsid w:val="007F2FBE"/>
    <w:rsid w:val="00864090"/>
    <w:rsid w:val="0089762A"/>
    <w:rsid w:val="009912E7"/>
    <w:rsid w:val="00A0761E"/>
    <w:rsid w:val="00A32669"/>
    <w:rsid w:val="00B02535"/>
    <w:rsid w:val="00BE6F76"/>
    <w:rsid w:val="00C270DC"/>
    <w:rsid w:val="00C30970"/>
    <w:rsid w:val="00D54483"/>
    <w:rsid w:val="00D974A0"/>
    <w:rsid w:val="00DB7CBA"/>
    <w:rsid w:val="00DE20F3"/>
    <w:rsid w:val="00DF1C15"/>
    <w:rsid w:val="00F22E40"/>
    <w:rsid w:val="00FE169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9FDBD9A-27B6-43CF-A463-646A0F627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5B8"/>
    <w:pPr>
      <w:spacing w:after="0" w:line="240" w:lineRule="auto"/>
    </w:pPr>
    <w:rPr>
      <w:rFonts w:ascii="Times New Roman" w:eastAsia="Times New Roman" w:hAnsi="Times New Roman" w:cs="Mangal"/>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5B8"/>
    <w:pPr>
      <w:ind w:left="720"/>
      <w:contextualSpacing/>
    </w:pPr>
    <w:rPr>
      <w:szCs w:val="21"/>
    </w:rPr>
  </w:style>
  <w:style w:type="table" w:styleId="TableGrid">
    <w:name w:val="Table Grid"/>
    <w:basedOn w:val="TableNormal"/>
    <w:uiPriority w:val="39"/>
    <w:rsid w:val="005135B8"/>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E1853"/>
    <w:rPr>
      <w:rFonts w:ascii="Segoe UI" w:hAnsi="Segoe UI"/>
      <w:sz w:val="18"/>
      <w:szCs w:val="16"/>
    </w:rPr>
  </w:style>
  <w:style w:type="character" w:customStyle="1" w:styleId="BalloonTextChar">
    <w:name w:val="Balloon Text Char"/>
    <w:basedOn w:val="DefaultParagraphFont"/>
    <w:link w:val="BalloonText"/>
    <w:uiPriority w:val="99"/>
    <w:semiHidden/>
    <w:rsid w:val="002E1853"/>
    <w:rPr>
      <w:rFonts w:ascii="Segoe UI" w:eastAsia="Times New Roman" w:hAnsi="Segoe UI" w:cs="Mangal"/>
      <w:sz w:val="18"/>
      <w:szCs w:val="16"/>
      <w:lang w:bidi="hi-IN"/>
    </w:rPr>
  </w:style>
  <w:style w:type="paragraph" w:styleId="Header">
    <w:name w:val="header"/>
    <w:basedOn w:val="Normal"/>
    <w:link w:val="HeaderChar"/>
    <w:uiPriority w:val="99"/>
    <w:unhideWhenUsed/>
    <w:rsid w:val="0022579A"/>
    <w:pPr>
      <w:tabs>
        <w:tab w:val="center" w:pos="4680"/>
        <w:tab w:val="right" w:pos="9360"/>
      </w:tabs>
    </w:pPr>
    <w:rPr>
      <w:szCs w:val="21"/>
    </w:rPr>
  </w:style>
  <w:style w:type="character" w:customStyle="1" w:styleId="HeaderChar">
    <w:name w:val="Header Char"/>
    <w:basedOn w:val="DefaultParagraphFont"/>
    <w:link w:val="Header"/>
    <w:uiPriority w:val="99"/>
    <w:rsid w:val="0022579A"/>
    <w:rPr>
      <w:rFonts w:ascii="Times New Roman" w:eastAsia="Times New Roman" w:hAnsi="Times New Roman" w:cs="Mangal"/>
      <w:sz w:val="24"/>
      <w:szCs w:val="21"/>
      <w:lang w:bidi="hi-IN"/>
    </w:rPr>
  </w:style>
  <w:style w:type="paragraph" w:styleId="Footer">
    <w:name w:val="footer"/>
    <w:basedOn w:val="Normal"/>
    <w:link w:val="FooterChar"/>
    <w:uiPriority w:val="99"/>
    <w:unhideWhenUsed/>
    <w:rsid w:val="0022579A"/>
    <w:pPr>
      <w:tabs>
        <w:tab w:val="center" w:pos="4680"/>
        <w:tab w:val="right" w:pos="9360"/>
      </w:tabs>
    </w:pPr>
    <w:rPr>
      <w:szCs w:val="21"/>
    </w:rPr>
  </w:style>
  <w:style w:type="character" w:customStyle="1" w:styleId="FooterChar">
    <w:name w:val="Footer Char"/>
    <w:basedOn w:val="DefaultParagraphFont"/>
    <w:link w:val="Footer"/>
    <w:uiPriority w:val="99"/>
    <w:rsid w:val="0022579A"/>
    <w:rPr>
      <w:rFonts w:ascii="Times New Roman" w:eastAsia="Times New Roman" w:hAnsi="Times New Roman" w:cs="Mangal"/>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4523">
      <w:bodyDiv w:val="1"/>
      <w:marLeft w:val="0"/>
      <w:marRight w:val="0"/>
      <w:marTop w:val="0"/>
      <w:marBottom w:val="0"/>
      <w:divBdr>
        <w:top w:val="none" w:sz="0" w:space="0" w:color="auto"/>
        <w:left w:val="none" w:sz="0" w:space="0" w:color="auto"/>
        <w:bottom w:val="none" w:sz="0" w:space="0" w:color="auto"/>
        <w:right w:val="none" w:sz="0" w:space="0" w:color="auto"/>
      </w:divBdr>
    </w:div>
    <w:div w:id="195640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2019-09-18 09:58:35</KDate>
  <Classification>BSE - INTERNAL</Classification>
  <HostName>BSEF24WD240</HostName>
  <Domain_User>BSELTD/iyer</Domain_User>
  <IPAdd>10.228.23.240</IPAdd>
  <FilePath>C:\Users\iyer\AppData\Local\Microsoft\Windows\INetCache\Content.Outlook\13IHSF9X\Annexure 1 - MM in Equity Derivatives.docx</FilePath>
  <KID>847BEB47CCCD637043975162222891</KID>
  <UniqueName/>
  <Suggested/>
  <Justification/>
</Klassify>
</file>

<file path=customXml/itemProps1.xml><?xml version="1.0" encoding="utf-8"?>
<ds:datastoreItem xmlns:ds="http://schemas.openxmlformats.org/officeDocument/2006/customXml" ds:itemID="{AABB6494-5BA9-4C9F-A8AC-B986775F45B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Ojas Shah</dc:creator>
  <cp:keywords/>
  <dc:description/>
  <cp:lastModifiedBy>Sameer Vaze</cp:lastModifiedBy>
  <cp:revision>3</cp:revision>
  <cp:lastPrinted>2019-09-16T15:04:00Z</cp:lastPrinted>
  <dcterms:created xsi:type="dcterms:W3CDTF">2019-09-20T06:35:00Z</dcterms:created>
  <dcterms:modified xsi:type="dcterms:W3CDTF">2019-09-25T10:58:00Z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847BEB47CCCD637043975162222891</vt:lpwstr>
  </property>
</Properties>
</file>